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outlineLvl w:val="0"/>
        <w:rPr>
          <w:rFonts w:asciiTheme="minorEastAsia" w:hAnsiTheme="minorEastAsia" w:eastAsiaTheme="minorEastAsia"/>
          <w:b/>
          <w:sz w:val="32"/>
          <w:szCs w:val="32"/>
          <w:lang w:val="zh-CN"/>
        </w:rPr>
      </w:pPr>
      <w:bookmarkStart w:id="0" w:name="_Toc489882837"/>
      <w:r>
        <w:rPr>
          <w:rFonts w:hint="eastAsia" w:asciiTheme="minorEastAsia" w:hAnsiTheme="minorEastAsia" w:eastAsiaTheme="minorEastAsia"/>
          <w:b/>
          <w:sz w:val="32"/>
          <w:szCs w:val="32"/>
          <w:lang w:val="zh-CN"/>
        </w:rPr>
        <w:t>广东省生态环境技术研究所财务报销操作指南</w:t>
      </w:r>
      <w:bookmarkEnd w:id="0"/>
    </w:p>
    <w:p>
      <w:pPr>
        <w:spacing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第一章</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rPr>
        <w:t>总则</w:t>
      </w:r>
    </w:p>
    <w:p>
      <w:pPr>
        <w:spacing w:line="440" w:lineRule="atLeast"/>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第一条</w:t>
      </w:r>
      <w:r>
        <w:rPr>
          <w:rFonts w:hint="eastAsia" w:asciiTheme="minorEastAsia" w:hAnsiTheme="minorEastAsia" w:eastAsiaTheme="minorEastAsia"/>
          <w:b/>
          <w:sz w:val="24"/>
          <w:lang w:val="en-US" w:eastAsia="zh-CN"/>
        </w:rPr>
        <w:t xml:space="preserve">  </w:t>
      </w:r>
      <w:r>
        <w:rPr>
          <w:rFonts w:hint="eastAsia" w:asciiTheme="minorEastAsia" w:hAnsiTheme="minorEastAsia" w:eastAsiaTheme="minorEastAsia"/>
          <w:sz w:val="24"/>
        </w:rPr>
        <w:t>为严肃财经纪律，规范广东省生态环境</w:t>
      </w:r>
      <w:r>
        <w:rPr>
          <w:rFonts w:hint="eastAsia" w:asciiTheme="minorEastAsia" w:hAnsiTheme="minorEastAsia" w:eastAsiaTheme="minorEastAsia"/>
          <w:sz w:val="24"/>
          <w:lang w:eastAsia="zh-CN"/>
        </w:rPr>
        <w:t>技术研究</w:t>
      </w:r>
      <w:r>
        <w:rPr>
          <w:rFonts w:hint="eastAsia" w:asciiTheme="minorEastAsia" w:hAnsiTheme="minorEastAsia" w:eastAsiaTheme="minorEastAsia"/>
          <w:sz w:val="24"/>
        </w:rPr>
        <w:t>所的经济活动行为，加强财务管理，提高资金的使用效率，保证科研开发工作的正常进行，根据《中华人民共和国会计法》，以及中央、省财政和纪检等部门有关规定，结合</w:t>
      </w:r>
      <w:r>
        <w:rPr>
          <w:rFonts w:hint="eastAsia" w:asciiTheme="minorEastAsia" w:hAnsiTheme="minorEastAsia" w:eastAsiaTheme="minorEastAsia"/>
          <w:sz w:val="24"/>
          <w:lang w:eastAsia="zh-CN"/>
        </w:rPr>
        <w:t>本</w:t>
      </w:r>
      <w:r>
        <w:rPr>
          <w:rFonts w:hint="eastAsia" w:asciiTheme="minorEastAsia" w:hAnsiTheme="minorEastAsia" w:eastAsiaTheme="minorEastAsia"/>
          <w:sz w:val="24"/>
        </w:rPr>
        <w:t>所实际情况，特制定本规定。</w:t>
      </w:r>
    </w:p>
    <w:p>
      <w:pPr>
        <w:spacing w:line="440" w:lineRule="atLeast"/>
        <w:ind w:left="42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第二章</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rPr>
        <w:t>借款部分</w:t>
      </w:r>
    </w:p>
    <w:p>
      <w:pPr>
        <w:spacing w:line="440" w:lineRule="atLeast"/>
        <w:ind w:firstLine="482" w:firstLineChars="200"/>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第二条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因差旅费、会议费（附上会议通知）及购买</w:t>
      </w:r>
      <w:r>
        <w:rPr>
          <w:rFonts w:asciiTheme="minorEastAsia" w:hAnsiTheme="minorEastAsia" w:eastAsiaTheme="minorEastAsia"/>
          <w:color w:val="000000"/>
          <w:sz w:val="24"/>
        </w:rPr>
        <w:t>1000</w:t>
      </w:r>
      <w:r>
        <w:rPr>
          <w:rFonts w:hint="eastAsia" w:asciiTheme="minorEastAsia" w:hAnsiTheme="minorEastAsia" w:eastAsiaTheme="minorEastAsia"/>
          <w:color w:val="000000"/>
          <w:sz w:val="24"/>
        </w:rPr>
        <w:t>元以下材料费可借取现金，其他借款均以转账形式借取；所有借款都必须在借款单备注中写明借款原因，如差旅费（写明人数、地点、时间、完成任务等）附上通知等相关证明资料（有正式通知必须附上）。填写完借款单后其右侧联可撕去，冲账时粘贴在报销单上以核对相关信息。</w:t>
      </w:r>
    </w:p>
    <w:p>
      <w:pPr>
        <w:spacing w:line="440" w:lineRule="atLeast"/>
        <w:ind w:firstLine="472" w:firstLineChars="196"/>
        <w:rPr>
          <w:rFonts w:hint="eastAsia" w:asciiTheme="minorEastAsia" w:hAnsiTheme="minorEastAsia" w:eastAsiaTheme="minorEastAsia"/>
          <w:color w:val="000000"/>
          <w:sz w:val="24"/>
        </w:rPr>
      </w:pPr>
      <w:r>
        <w:rPr>
          <w:rFonts w:hint="eastAsia" w:asciiTheme="minorEastAsia" w:hAnsiTheme="minorEastAsia" w:eastAsiaTheme="minorEastAsia"/>
          <w:b/>
          <w:color w:val="000000"/>
          <w:sz w:val="24"/>
        </w:rPr>
        <w:t>第三条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所有借款必须在业务完成后</w:t>
      </w:r>
      <w:r>
        <w:rPr>
          <w:rFonts w:asciiTheme="minorEastAsia" w:hAnsiTheme="minorEastAsia" w:eastAsiaTheme="minorEastAsia"/>
          <w:color w:val="000000"/>
          <w:sz w:val="24"/>
        </w:rPr>
        <w:t>30</w:t>
      </w:r>
      <w:r>
        <w:rPr>
          <w:rFonts w:hint="eastAsia" w:asciiTheme="minorEastAsia" w:hAnsiTheme="minorEastAsia" w:eastAsiaTheme="minorEastAsia"/>
          <w:color w:val="000000"/>
          <w:sz w:val="24"/>
        </w:rPr>
        <w:t>个工作日内办理冲账手续，退还欠款。日常业务借款（购买设备、外拨等具有合理原因暂时无法冲账的除外），按照“一借一报，一借一清”原则办理，即借一笔冲一笔，前账不清，后账不借；冲账金额应与借款金额相一致；财务室每</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9</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11</w:t>
      </w:r>
      <w:r>
        <w:rPr>
          <w:rFonts w:hint="eastAsia" w:asciiTheme="minorEastAsia" w:hAnsiTheme="minorEastAsia" w:eastAsiaTheme="minorEastAsia"/>
          <w:color w:val="000000"/>
          <w:sz w:val="24"/>
        </w:rPr>
        <w:t>月会清查借款账户若发现有超过规定期限还未还款者将禁止其继续借款直到还清借款为止；严格控制每个团队的借款总额</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若拖欠情节严重的将视具体情况从其个人工资中抵扣。</w:t>
      </w:r>
    </w:p>
    <w:p>
      <w:pPr>
        <w:spacing w:line="440" w:lineRule="atLeast"/>
        <w:ind w:firstLine="470" w:firstLineChars="196"/>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第四条</w:t>
      </w:r>
      <w:r>
        <w:rPr>
          <w:rFonts w:hint="eastAsia" w:asciiTheme="minorEastAsia" w:hAnsiTheme="minorEastAsia" w:eastAsiaTheme="minorEastAsia"/>
          <w:color w:val="000000"/>
          <w:sz w:val="24"/>
          <w:lang w:val="en-US" w:eastAsia="zh-CN"/>
        </w:rPr>
        <w:t xml:space="preserve"> 申请投标保证金按借款流程，须提供招标文件中的投标人须知文件及联合体合作协议（如有，需提供）。申请的投标保证金一般不超过40万元。如本所与其他单位组成联合体参与投标的，按联合体合作协议的资金分配额度，只承担本所应付的投标保证金额度。</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w:t>
      </w:r>
      <w:r>
        <w:rPr>
          <w:rFonts w:hint="eastAsia" w:asciiTheme="minorEastAsia" w:hAnsiTheme="minorEastAsia" w:eastAsiaTheme="minorEastAsia"/>
          <w:b/>
          <w:color w:val="000000"/>
          <w:sz w:val="24"/>
          <w:lang w:eastAsia="zh-CN"/>
        </w:rPr>
        <w:t>五</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借款人所借款项发现暂时不用的，应及时将所借现金或支票退还财务室，以确保资金安全。</w:t>
      </w:r>
    </w:p>
    <w:p>
      <w:pPr>
        <w:spacing w:line="440" w:lineRule="atLeas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第三章</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rPr>
        <w:t>报销部分</w:t>
      </w:r>
    </w:p>
    <w:p>
      <w:pPr>
        <w:spacing w:line="440" w:lineRule="atLeast"/>
        <w:ind w:firstLine="354" w:firstLineChars="147"/>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w:t>
      </w:r>
      <w:r>
        <w:rPr>
          <w:rFonts w:hint="eastAsia" w:asciiTheme="minorEastAsia" w:hAnsiTheme="minorEastAsia" w:eastAsiaTheme="minorEastAsia"/>
          <w:b/>
          <w:color w:val="000000"/>
          <w:sz w:val="24"/>
          <w:lang w:eastAsia="zh-CN"/>
        </w:rPr>
        <w:t>六</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购买科研仪器设备必须按照国家及研究所内的固定资产管理办法执行。属于政府采购的必须按照政府采购程序办理。经手人必须办理</w:t>
      </w:r>
      <w:r>
        <w:rPr>
          <w:rFonts w:hint="eastAsia" w:asciiTheme="minorEastAsia" w:hAnsiTheme="minorEastAsia" w:eastAsiaTheme="minorEastAsia"/>
          <w:color w:val="000000"/>
          <w:sz w:val="24"/>
          <w:lang w:eastAsia="zh-CN"/>
        </w:rPr>
        <w:t>采购申请、</w:t>
      </w:r>
      <w:r>
        <w:rPr>
          <w:rFonts w:hint="eastAsia" w:asciiTheme="minorEastAsia" w:hAnsiTheme="minorEastAsia" w:eastAsiaTheme="minorEastAsia"/>
          <w:color w:val="000000"/>
          <w:sz w:val="24"/>
        </w:rPr>
        <w:t>固定资产登记手续，按照相关购买流程操作后方可报销。</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w:t>
      </w:r>
      <w:r>
        <w:rPr>
          <w:rFonts w:hint="eastAsia" w:asciiTheme="minorEastAsia" w:hAnsiTheme="minorEastAsia" w:eastAsiaTheme="minorEastAsia"/>
          <w:b/>
          <w:color w:val="000000"/>
          <w:sz w:val="24"/>
          <w:lang w:eastAsia="zh-CN"/>
        </w:rPr>
        <w:t>七</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采购办公耗材、文印及材料，在报销时发票必须注明单位名称、物品名称、数量、单价、金额等；并附上购买物品的明细清单。采购金额超过</w:t>
      </w:r>
      <w:r>
        <w:rPr>
          <w:rFonts w:asciiTheme="minorEastAsia" w:hAnsiTheme="minorEastAsia" w:eastAsiaTheme="minorEastAsia"/>
          <w:color w:val="000000"/>
          <w:sz w:val="24"/>
        </w:rPr>
        <w:t>3000</w:t>
      </w:r>
      <w:r>
        <w:rPr>
          <w:rFonts w:hint="eastAsia" w:asciiTheme="minorEastAsia" w:hAnsiTheme="minorEastAsia" w:eastAsiaTheme="minorEastAsia"/>
          <w:color w:val="000000"/>
          <w:sz w:val="24"/>
        </w:rPr>
        <w:t>元以上需要验收手续，</w:t>
      </w:r>
      <w:r>
        <w:rPr>
          <w:rFonts w:hint="eastAsia" w:asciiTheme="minorEastAsia" w:hAnsiTheme="minorEastAsia" w:eastAsiaTheme="minorEastAsia"/>
          <w:color w:val="000000"/>
          <w:sz w:val="24"/>
          <w:lang w:eastAsia="zh-CN"/>
        </w:rPr>
        <w:t>在喀斯玛商城上采购的，</w:t>
      </w:r>
      <w:r>
        <w:rPr>
          <w:rFonts w:hint="eastAsia" w:asciiTheme="minorEastAsia" w:hAnsiTheme="minorEastAsia" w:eastAsiaTheme="minorEastAsia"/>
          <w:color w:val="000000"/>
          <w:sz w:val="24"/>
        </w:rPr>
        <w:t>材料采购时验收人、采购人（不能为同一人）应在清单上签名确认</w:t>
      </w:r>
      <w:r>
        <w:rPr>
          <w:rFonts w:hint="eastAsia" w:asciiTheme="minorEastAsia" w:hAnsiTheme="minorEastAsia" w:eastAsiaTheme="minorEastAsia"/>
          <w:color w:val="000000"/>
          <w:sz w:val="24"/>
          <w:lang w:eastAsia="zh-CN"/>
        </w:rPr>
        <w:t>；若不是在喀斯玛商城上采购的，</w:t>
      </w:r>
      <w:r>
        <w:rPr>
          <w:rFonts w:hint="eastAsia" w:asciiTheme="minorEastAsia" w:hAnsiTheme="minorEastAsia" w:eastAsiaTheme="minorEastAsia"/>
          <w:color w:val="000000"/>
          <w:sz w:val="24"/>
        </w:rPr>
        <w:t>需要经过业务办对于材料的</w:t>
      </w:r>
      <w:bookmarkStart w:id="1" w:name="_GoBack"/>
      <w:bookmarkEnd w:id="1"/>
      <w:r>
        <w:rPr>
          <w:rFonts w:hint="eastAsia" w:asciiTheme="minorEastAsia" w:hAnsiTheme="minorEastAsia" w:eastAsiaTheme="minorEastAsia"/>
          <w:color w:val="000000"/>
          <w:sz w:val="24"/>
        </w:rPr>
        <w:t>审核填写材料采购审核单并签字，作为附件和单据一起交至财务室报销。</w:t>
      </w:r>
    </w:p>
    <w:p>
      <w:pPr>
        <w:spacing w:line="440" w:lineRule="atLeast"/>
        <w:ind w:firstLine="482" w:firstLineChars="200"/>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w:t>
      </w:r>
      <w:r>
        <w:rPr>
          <w:rFonts w:hint="eastAsia" w:asciiTheme="minorEastAsia" w:hAnsiTheme="minorEastAsia" w:eastAsiaTheme="minorEastAsia"/>
          <w:b/>
          <w:color w:val="000000"/>
          <w:sz w:val="24"/>
          <w:lang w:eastAsia="zh-CN"/>
        </w:rPr>
        <w:t>八</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分析测试费在报销时需附上详细的测试分析内容或测试分析报告，单笔</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万以上的测试费须附上测试服务合同。</w:t>
      </w:r>
    </w:p>
    <w:p>
      <w:pPr>
        <w:spacing w:line="440" w:lineRule="atLeast"/>
        <w:ind w:firstLine="482" w:firstLineChars="200"/>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w:t>
      </w:r>
      <w:r>
        <w:rPr>
          <w:rFonts w:hint="eastAsia" w:asciiTheme="minorEastAsia" w:hAnsiTheme="minorEastAsia" w:eastAsiaTheme="minorEastAsia"/>
          <w:b/>
          <w:color w:val="000000"/>
          <w:sz w:val="24"/>
          <w:lang w:eastAsia="zh-CN"/>
        </w:rPr>
        <w:t>九</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与外单位合作的项目需要外拨经费的必须附上预算说明复印件（预算中写明的才能转拨），国家基金或其他国家项目预算中无说明的一律不准支付，外拨经费</w:t>
      </w: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万元以内需所领导签字，超过</w:t>
      </w: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万元的需要通过所务会，并附合同。</w:t>
      </w:r>
    </w:p>
    <w:p>
      <w:pPr>
        <w:spacing w:line="440" w:lineRule="atLeast"/>
        <w:ind w:firstLine="472" w:firstLineChars="196"/>
        <w:rPr>
          <w:rFonts w:asciiTheme="minorEastAsia" w:hAnsiTheme="minorEastAsia" w:eastAsiaTheme="minorEastAsia"/>
          <w:color w:val="000000"/>
          <w:sz w:val="24"/>
        </w:rPr>
      </w:pPr>
      <w:r>
        <w:rPr>
          <w:rFonts w:hint="eastAsia" w:cs="Arial" w:asciiTheme="minorEastAsia" w:hAnsiTheme="minorEastAsia" w:eastAsiaTheme="minorEastAsia"/>
          <w:b/>
          <w:color w:val="000000"/>
          <w:sz w:val="24"/>
        </w:rPr>
        <w:t>第</w:t>
      </w:r>
      <w:r>
        <w:rPr>
          <w:rFonts w:hint="eastAsia" w:cs="Arial" w:asciiTheme="minorEastAsia" w:hAnsiTheme="minorEastAsia" w:eastAsiaTheme="minorEastAsia"/>
          <w:b/>
          <w:color w:val="000000"/>
          <w:sz w:val="24"/>
          <w:lang w:eastAsia="zh-CN"/>
        </w:rPr>
        <w:t>十</w:t>
      </w:r>
      <w:r>
        <w:rPr>
          <w:rFonts w:hint="eastAsia" w:cs="Arial" w:asciiTheme="minorEastAsia" w:hAnsiTheme="minorEastAsia" w:eastAsiaTheme="minorEastAsia"/>
          <w:b/>
          <w:color w:val="000000"/>
          <w:sz w:val="24"/>
        </w:rPr>
        <w:t>条</w:t>
      </w:r>
      <w:r>
        <w:rPr>
          <w:rFonts w:hint="eastAsia" w:cs="Arial" w:asciiTheme="minorEastAsia" w:hAnsiTheme="minorEastAsia" w:eastAsiaTheme="minorEastAsia"/>
          <w:b/>
          <w:color w:val="000000"/>
          <w:sz w:val="24"/>
          <w:lang w:val="en-US" w:eastAsia="zh-CN"/>
        </w:rPr>
        <w:t xml:space="preserve">  </w:t>
      </w:r>
      <w:r>
        <w:rPr>
          <w:rFonts w:hint="eastAsia" w:cs="Arial" w:asciiTheme="minorEastAsia" w:hAnsiTheme="minorEastAsia" w:eastAsiaTheme="minorEastAsia"/>
          <w:color w:val="000000"/>
          <w:sz w:val="24"/>
        </w:rPr>
        <w:t>专家咨询费（包括评审费、鉴定费等）：</w:t>
      </w:r>
      <w:r>
        <w:rPr>
          <w:rFonts w:hint="eastAsia" w:asciiTheme="minorEastAsia" w:hAnsiTheme="minorEastAsia" w:eastAsiaTheme="minorEastAsia"/>
          <w:color w:val="000000"/>
          <w:sz w:val="24"/>
        </w:rPr>
        <w:t>属于纵向科研课题列支的，严格按照纵向科研课题有关专家咨询费的标准和规定执行，确实超出标准</w:t>
      </w:r>
      <w:r>
        <w:rPr>
          <w:rFonts w:hint="eastAsia" w:cs="Arial" w:asciiTheme="minorEastAsia" w:hAnsiTheme="minorEastAsia" w:eastAsiaTheme="minorEastAsia"/>
          <w:color w:val="000000"/>
          <w:sz w:val="24"/>
        </w:rPr>
        <w:t>须经所务会讨论</w:t>
      </w:r>
      <w:r>
        <w:rPr>
          <w:rFonts w:hint="eastAsia" w:asciiTheme="minorEastAsia" w:hAnsiTheme="minorEastAsia" w:eastAsiaTheme="minorEastAsia"/>
          <w:color w:val="000000"/>
          <w:sz w:val="24"/>
        </w:rPr>
        <w:t>通过，国家基金和其他国家项目不得超额列支。属于横向经费和所公共经费的专家咨询费原则上参照科研课题有关专家咨询费的标准，超出标准</w:t>
      </w:r>
      <w:r>
        <w:rPr>
          <w:rFonts w:hint="eastAsia" w:cs="Arial" w:asciiTheme="minorEastAsia" w:hAnsiTheme="minorEastAsia" w:eastAsiaTheme="minorEastAsia"/>
          <w:color w:val="000000"/>
          <w:sz w:val="24"/>
        </w:rPr>
        <w:t>须经所务会议讨论</w:t>
      </w:r>
      <w:r>
        <w:rPr>
          <w:rFonts w:hint="eastAsia" w:asciiTheme="minorEastAsia" w:hAnsiTheme="minorEastAsia" w:eastAsiaTheme="minorEastAsia"/>
          <w:color w:val="000000"/>
          <w:sz w:val="24"/>
        </w:rPr>
        <w:t>通过。报销</w:t>
      </w:r>
      <w:r>
        <w:rPr>
          <w:rFonts w:hint="eastAsia" w:cs="Arial" w:asciiTheme="minorEastAsia" w:hAnsiTheme="minorEastAsia" w:eastAsiaTheme="minorEastAsia"/>
          <w:color w:val="000000"/>
          <w:sz w:val="24"/>
        </w:rPr>
        <w:t>应由项目组填报《项目评审费用支出表》（见附件</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w:t>
      </w:r>
      <w:r>
        <w:rPr>
          <w:rFonts w:hint="eastAsia" w:asciiTheme="minorEastAsia" w:hAnsiTheme="minorEastAsia" w:eastAsiaTheme="minorEastAsia"/>
          <w:color w:val="000000"/>
          <w:sz w:val="24"/>
        </w:rPr>
        <w:t>无特殊情况必须本人签名验收、身份证或护照复印件</w:t>
      </w:r>
      <w:r>
        <w:rPr>
          <w:rFonts w:hint="eastAsia" w:cs="Arial" w:asciiTheme="minorEastAsia" w:hAnsiTheme="minorEastAsia" w:eastAsiaTheme="minorEastAsia"/>
          <w:color w:val="000000"/>
          <w:sz w:val="24"/>
        </w:rPr>
        <w:t>）</w:t>
      </w:r>
      <w:r>
        <w:rPr>
          <w:rFonts w:hint="eastAsia" w:asciiTheme="minorEastAsia" w:hAnsiTheme="minorEastAsia" w:eastAsiaTheme="minorEastAsia"/>
          <w:color w:val="000000"/>
          <w:sz w:val="24"/>
        </w:rPr>
        <w:t>，</w:t>
      </w:r>
      <w:r>
        <w:rPr>
          <w:rFonts w:hint="eastAsia" w:cs="Arial" w:asciiTheme="minorEastAsia" w:hAnsiTheme="minorEastAsia" w:eastAsiaTheme="minorEastAsia"/>
          <w:color w:val="000000"/>
          <w:sz w:val="24"/>
        </w:rPr>
        <w:t>并附评审会议通知或邀请函，总金额超过</w:t>
      </w:r>
      <w:r>
        <w:rPr>
          <w:rFonts w:cs="Arial" w:asciiTheme="minorEastAsia" w:hAnsiTheme="minorEastAsia" w:eastAsiaTheme="minorEastAsia"/>
          <w:color w:val="000000"/>
          <w:sz w:val="24"/>
        </w:rPr>
        <w:t>3</w:t>
      </w:r>
      <w:r>
        <w:rPr>
          <w:rFonts w:hint="eastAsia" w:cs="Arial" w:asciiTheme="minorEastAsia" w:hAnsiTheme="minorEastAsia" w:eastAsiaTheme="minorEastAsia"/>
          <w:color w:val="000000"/>
          <w:sz w:val="24"/>
        </w:rPr>
        <w:t>万元须经所务会议讨论通过后方可报销。</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一</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劳务费报销时每次需有劳务人员签收款项的凭据、劳务人员个人身份证复印件及证明人签字，并按税务规定的税率交个人所得税，计税基数按照税法规定计算。并附上签名表（附件</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）及工作记录表（附件</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），科研类劳务费的支出须按照不同类别项目的比例支出。</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二</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会议、差旅费报销时需附上会议通知，及业务办开具的业务审核表（附件</w:t>
      </w: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），报销补助需严格按照广东省差旅费补助标准和所内野外差旅报销制度执行。报销时附上的票据须有连续性、合理性。飞机票报销时必须附上登机牌，以确保业务真实性。</w:t>
      </w:r>
      <w:r>
        <w:rPr>
          <w:rFonts w:hint="eastAsia" w:asciiTheme="minorEastAsia" w:hAnsiTheme="minorEastAsia" w:eastAsiaTheme="minorEastAsia"/>
          <w:color w:val="000000"/>
          <w:sz w:val="24"/>
          <w:lang w:eastAsia="zh-CN"/>
        </w:rPr>
        <w:t>差旅地在广州市越秀区、天河区、荔湾区、白云区、海珠区等</w:t>
      </w:r>
      <w:r>
        <w:rPr>
          <w:rFonts w:hint="eastAsia" w:asciiTheme="minorEastAsia" w:hAnsiTheme="minorEastAsia" w:eastAsiaTheme="minorEastAsia"/>
          <w:color w:val="000000"/>
          <w:sz w:val="24"/>
          <w:lang w:val="en-US" w:eastAsia="zh-CN"/>
        </w:rPr>
        <w:t>5个区域以外且广州市范围内，公共交通费、伙食补助费、市内交通费参照现行的差旅费管理办法的规定执行。差旅报销发票必须在差旅期内。</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三</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sz w:val="24"/>
          <w:szCs w:val="24"/>
          <w:lang w:val="en-US" w:eastAsia="zh-CN"/>
        </w:rPr>
        <w:t>野外差旅租车如不能使用本所公务用车，一般情况下选择本所提供的备选出租车公司。报销时需附上用车申请、</w:t>
      </w:r>
      <w:r>
        <w:rPr>
          <w:rFonts w:hint="eastAsia" w:asciiTheme="minorEastAsia" w:hAnsiTheme="minorEastAsia" w:eastAsiaTheme="minorEastAsia"/>
          <w:color w:val="000000"/>
          <w:sz w:val="24"/>
          <w:lang w:eastAsia="zh-CN"/>
        </w:rPr>
        <w:t>租车费发票及租车公司提供的费用明细清单。凡需在差旅费中报销燃油费的，须先经过综合办罗文主任审核。</w:t>
      </w:r>
      <w:r>
        <w:rPr>
          <w:rFonts w:hint="eastAsia"/>
          <w:sz w:val="24"/>
          <w:szCs w:val="24"/>
          <w:lang w:val="en-US" w:eastAsia="zh-CN"/>
        </w:rPr>
        <w:t>出于安全考虑，不提倡工作人员驾驶私家车出差，如驾驶私家车出差，因此发生的费用不能报销（如加油费、过路过桥通行费、停车费、保养维修费）。</w:t>
      </w:r>
    </w:p>
    <w:p>
      <w:pPr>
        <w:spacing w:line="440" w:lineRule="atLeast"/>
        <w:ind w:firstLine="472" w:firstLineChars="196"/>
        <w:rPr>
          <w:rFonts w:hint="eastAsia" w:asciiTheme="minorEastAsia" w:hAnsiTheme="minorEastAsia" w:eastAsiaTheme="minorEastAsia"/>
          <w:color w:val="000000"/>
          <w:sz w:val="24"/>
          <w:lang w:eastAsia="zh-CN"/>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四</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lang w:eastAsia="zh-CN"/>
        </w:rPr>
        <w:t>报销</w:t>
      </w:r>
      <w:r>
        <w:rPr>
          <w:rFonts w:hint="eastAsia" w:asciiTheme="minorEastAsia" w:hAnsiTheme="minorEastAsia" w:eastAsiaTheme="minorEastAsia"/>
          <w:color w:val="000000"/>
          <w:sz w:val="24"/>
        </w:rPr>
        <w:t>招待费</w:t>
      </w:r>
      <w:r>
        <w:rPr>
          <w:rFonts w:hint="eastAsia" w:asciiTheme="minorEastAsia" w:hAnsiTheme="minorEastAsia" w:eastAsiaTheme="minorEastAsia"/>
          <w:color w:val="000000"/>
          <w:sz w:val="24"/>
          <w:lang w:eastAsia="zh-CN"/>
        </w:rPr>
        <w:t>按本所公务接待管理暂行条例执行，接待报销应当包括财务票据、派出单位公函、接待审批单和接待清单。接待费支付方式应当严格使用银行转账或公务卡方式结算。</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五</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公务卡使用相关科目，参见公务卡使用办法。</w:t>
      </w:r>
    </w:p>
    <w:p>
      <w:pPr>
        <w:spacing w:line="440" w:lineRule="atLeast"/>
        <w:ind w:firstLine="470" w:firstLineChars="196"/>
        <w:rPr>
          <w:rFonts w:hint="eastAsia" w:asciiTheme="minorEastAsia" w:hAnsiTheme="minorEastAsia" w:eastAsiaTheme="minorEastAsia" w:cstheme="minorEastAsia"/>
          <w:color w:val="000000"/>
          <w:sz w:val="24"/>
          <w:szCs w:val="24"/>
        </w:rPr>
      </w:pPr>
    </w:p>
    <w:p>
      <w:pPr>
        <w:spacing w:line="440" w:lineRule="atLeas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第四章</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4"/>
          <w:szCs w:val="24"/>
        </w:rPr>
        <w:t>票据管理</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六</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原始单据报销时应正面按顺序帖在附单后面，同一笔业务发生的票据应帖在一起，不要超过单据范围，并做到整齐、清洁。</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七</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如有遗失的票据或正当发生的真实业务但无票据报销的，说明遗失原因或业务发生过程由所属部门负责人证明，经所长审批后，可报销。</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第十</w:t>
      </w:r>
      <w:r>
        <w:rPr>
          <w:rFonts w:hint="eastAsia" w:asciiTheme="minorEastAsia" w:hAnsiTheme="minorEastAsia" w:eastAsiaTheme="minorEastAsia"/>
          <w:b/>
          <w:color w:val="000000"/>
          <w:sz w:val="24"/>
          <w:lang w:eastAsia="zh-CN"/>
        </w:rPr>
        <w:t>八</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报销票据（以凭证日期为准）原则上应在当年报销，第四季度的单据可在次年一季度报销，如有特殊原因可进行说明，其他跨年度的单据一律不予报销。</w:t>
      </w:r>
    </w:p>
    <w:p>
      <w:pPr>
        <w:spacing w:line="440" w:lineRule="atLeast"/>
        <w:ind w:left="1928" w:hanging="1446" w:hangingChars="600"/>
        <w:jc w:val="center"/>
        <w:rPr>
          <w:rFonts w:asciiTheme="minorEastAsia" w:hAnsiTheme="minorEastAsia" w:eastAsiaTheme="minorEastAsia"/>
          <w:b/>
          <w:bCs w:val="0"/>
          <w:color w:val="000000"/>
          <w:sz w:val="24"/>
          <w:szCs w:val="24"/>
        </w:rPr>
      </w:pPr>
      <w:r>
        <w:rPr>
          <w:rFonts w:hint="eastAsia" w:asciiTheme="minorEastAsia" w:hAnsiTheme="minorEastAsia" w:eastAsiaTheme="minorEastAsia"/>
          <w:b/>
          <w:bCs w:val="0"/>
          <w:color w:val="000000"/>
          <w:sz w:val="24"/>
          <w:szCs w:val="24"/>
        </w:rPr>
        <w:t>第五章</w:t>
      </w:r>
      <w:r>
        <w:rPr>
          <w:rFonts w:hint="eastAsia" w:asciiTheme="minorEastAsia" w:hAnsiTheme="minorEastAsia" w:eastAsiaTheme="minorEastAsia"/>
          <w:b/>
          <w:bCs w:val="0"/>
          <w:color w:val="000000"/>
          <w:sz w:val="24"/>
          <w:szCs w:val="24"/>
          <w:lang w:val="en-US" w:eastAsia="zh-CN"/>
        </w:rPr>
        <w:t xml:space="preserve">  </w:t>
      </w:r>
      <w:r>
        <w:rPr>
          <w:rFonts w:hint="eastAsia" w:asciiTheme="minorEastAsia" w:hAnsiTheme="minorEastAsia" w:eastAsiaTheme="minorEastAsia"/>
          <w:b/>
          <w:bCs w:val="0"/>
          <w:color w:val="000000"/>
          <w:sz w:val="24"/>
          <w:szCs w:val="24"/>
        </w:rPr>
        <w:t>附则</w:t>
      </w:r>
    </w:p>
    <w:p>
      <w:pPr>
        <w:spacing w:line="440" w:lineRule="atLeast"/>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w:t>
      </w:r>
      <w:r>
        <w:rPr>
          <w:rFonts w:hint="eastAsia" w:asciiTheme="minorEastAsia" w:hAnsiTheme="minorEastAsia" w:eastAsiaTheme="minorEastAsia"/>
          <w:b/>
          <w:color w:val="000000"/>
          <w:sz w:val="24"/>
          <w:lang w:eastAsia="zh-CN"/>
        </w:rPr>
        <w:t>十九</w:t>
      </w:r>
      <w:r>
        <w:rPr>
          <w:rFonts w:hint="eastAsia" w:asciiTheme="minorEastAsia" w:hAnsiTheme="minorEastAsia" w:eastAsiaTheme="minorEastAsia"/>
          <w:b/>
          <w:color w:val="000000"/>
          <w:sz w:val="24"/>
        </w:rPr>
        <w:t>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财务室于每星期二、三、五进行报销、还款和冲账业务；星期一、四为内部账务整理、对账和处理账务时间。</w:t>
      </w:r>
    </w:p>
    <w:p>
      <w:pPr>
        <w:spacing w:line="440" w:lineRule="atLeast"/>
        <w:ind w:firstLine="482" w:firstLineChars="200"/>
        <w:rPr>
          <w:rFonts w:asciiTheme="minorEastAsia" w:hAnsiTheme="minorEastAsia" w:eastAsiaTheme="minorEastAsia"/>
          <w:color w:val="000000"/>
          <w:sz w:val="24"/>
        </w:rPr>
      </w:pPr>
      <w:r>
        <w:rPr>
          <w:rFonts w:hint="eastAsia" w:asciiTheme="minorEastAsia" w:hAnsiTheme="minorEastAsia" w:eastAsiaTheme="minorEastAsia"/>
          <w:b/>
          <w:color w:val="000000"/>
          <w:sz w:val="24"/>
        </w:rPr>
        <w:t>第二十条</w:t>
      </w:r>
      <w:r>
        <w:rPr>
          <w:rFonts w:hint="eastAsia" w:asciiTheme="minorEastAsia" w:hAnsiTheme="minorEastAsia" w:eastAsiaTheme="minorEastAsia"/>
          <w:b/>
          <w:color w:val="000000"/>
          <w:sz w:val="24"/>
          <w:lang w:val="en-US" w:eastAsia="zh-CN"/>
        </w:rPr>
        <w:t xml:space="preserve">  </w:t>
      </w:r>
      <w:r>
        <w:rPr>
          <w:rFonts w:hint="eastAsia" w:asciiTheme="minorEastAsia" w:hAnsiTheme="minorEastAsia" w:eastAsiaTheme="minorEastAsia"/>
          <w:color w:val="000000"/>
          <w:sz w:val="24"/>
        </w:rPr>
        <w:t>财务室定于每年</w:t>
      </w:r>
      <w:r>
        <w:rPr>
          <w:rFonts w:asciiTheme="minorEastAsia" w:hAnsiTheme="minorEastAsia" w:eastAsiaTheme="minorEastAsia"/>
          <w:color w:val="000000"/>
          <w:sz w:val="24"/>
        </w:rPr>
        <w:t>12</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rPr>
        <w:t>20</w:t>
      </w:r>
      <w:r>
        <w:rPr>
          <w:rFonts w:hint="eastAsia" w:asciiTheme="minorEastAsia" w:hAnsiTheme="minorEastAsia" w:eastAsiaTheme="minorEastAsia"/>
          <w:color w:val="000000"/>
          <w:sz w:val="24"/>
        </w:rPr>
        <w:t>左右至次年</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月中旬（具体时间另行通知）暂停办理报销、冲账业务，以便集中处理财务年终决算工作。</w:t>
      </w:r>
    </w:p>
    <w:p>
      <w:pPr>
        <w:widowControl/>
        <w:adjustRightInd w:val="0"/>
        <w:snapToGrid w:val="0"/>
        <w:spacing w:line="440" w:lineRule="atLeast"/>
        <w:ind w:right="170"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sz w:val="24"/>
        </w:rPr>
        <w:t>第二十</w:t>
      </w:r>
      <w:r>
        <w:rPr>
          <w:rFonts w:hint="eastAsia" w:asciiTheme="minorEastAsia" w:hAnsiTheme="minorEastAsia" w:eastAsiaTheme="minorEastAsia"/>
          <w:b/>
          <w:sz w:val="24"/>
          <w:lang w:eastAsia="zh-CN"/>
        </w:rPr>
        <w:t>一</w:t>
      </w:r>
      <w:r>
        <w:rPr>
          <w:rFonts w:hint="eastAsia" w:asciiTheme="minorEastAsia" w:hAnsiTheme="minorEastAsia" w:eastAsiaTheme="minorEastAsia"/>
          <w:b/>
          <w:sz w:val="24"/>
        </w:rPr>
        <w:t>条</w:t>
      </w:r>
      <w:r>
        <w:rPr>
          <w:rFonts w:hint="eastAsia" w:asciiTheme="minorEastAsia" w:hAnsiTheme="minorEastAsia" w:eastAsiaTheme="minorEastAsia"/>
          <w:b/>
          <w:sz w:val="24"/>
          <w:lang w:val="en-US" w:eastAsia="zh-CN"/>
        </w:rPr>
        <w:t xml:space="preserve">  </w:t>
      </w:r>
      <w:r>
        <w:rPr>
          <w:rFonts w:asciiTheme="minorEastAsia" w:hAnsiTheme="minorEastAsia" w:eastAsiaTheme="minorEastAsia"/>
          <w:color w:val="000000"/>
          <w:sz w:val="24"/>
        </w:rPr>
        <w:t>本</w:t>
      </w:r>
      <w:r>
        <w:rPr>
          <w:rFonts w:hint="eastAsia" w:asciiTheme="minorEastAsia" w:hAnsiTheme="minorEastAsia" w:eastAsiaTheme="minorEastAsia"/>
          <w:color w:val="000000"/>
          <w:sz w:val="24"/>
        </w:rPr>
        <w:t>指南</w:t>
      </w:r>
      <w:r>
        <w:rPr>
          <w:rFonts w:asciiTheme="minorEastAsia" w:hAnsiTheme="minorEastAsia" w:eastAsiaTheme="minorEastAsia"/>
          <w:color w:val="000000"/>
          <w:sz w:val="24"/>
        </w:rPr>
        <w:t>由财务办公室负责解释，</w:t>
      </w:r>
      <w:r>
        <w:rPr>
          <w:rFonts w:hint="eastAsia" w:asciiTheme="minorEastAsia" w:hAnsiTheme="minorEastAsia" w:eastAsiaTheme="minorEastAsia"/>
          <w:color w:val="000000"/>
          <w:sz w:val="24"/>
          <w:lang w:eastAsia="zh-CN"/>
        </w:rPr>
        <w:t>即日</w:t>
      </w:r>
      <w:r>
        <w:rPr>
          <w:rFonts w:asciiTheme="minorEastAsia" w:hAnsiTheme="minorEastAsia" w:eastAsiaTheme="minorEastAsia"/>
          <w:color w:val="000000"/>
          <w:sz w:val="24"/>
        </w:rPr>
        <w:t>起</w:t>
      </w:r>
      <w:r>
        <w:rPr>
          <w:rFonts w:hint="eastAsia" w:asciiTheme="minorEastAsia" w:hAnsiTheme="minorEastAsia" w:eastAsiaTheme="minorEastAsia"/>
          <w:color w:val="000000"/>
          <w:sz w:val="24"/>
        </w:rPr>
        <w:t>实施</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与国家、上级部门法律法规和政策相抵触的，按国家、上级部门法律法规和政策执行。</w:t>
      </w:r>
    </w:p>
    <w:p>
      <w:pPr>
        <w:spacing w:line="440" w:lineRule="atLeast"/>
        <w:ind w:firstLine="470" w:firstLineChars="196"/>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pPr>
        <w:spacing w:line="440" w:lineRule="atLeast"/>
        <w:rPr>
          <w:rFonts w:asciiTheme="minorEastAsia" w:hAnsiTheme="minorEastAsia" w:eastAsiaTheme="min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71A0"/>
    <w:rsid w:val="1039328F"/>
    <w:rsid w:val="10AC728C"/>
    <w:rsid w:val="18584698"/>
    <w:rsid w:val="20067008"/>
    <w:rsid w:val="30F507B5"/>
    <w:rsid w:val="35B66477"/>
    <w:rsid w:val="35D14309"/>
    <w:rsid w:val="3F4B0D86"/>
    <w:rsid w:val="455571A0"/>
    <w:rsid w:val="4C536F1D"/>
    <w:rsid w:val="5BEF0DDF"/>
    <w:rsid w:val="66137D50"/>
    <w:rsid w:val="6D25679A"/>
    <w:rsid w:val="75FB58C1"/>
    <w:rsid w:val="7B5A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2018-04-12T06:54:00Z</dcterms:created>
  <dc:creator>Administrator</dc:creator>
  <cp:lastModifiedBy>Administrator</cp:lastModifiedBy>
  <dcterms:modified xsi:type="dcterms:W3CDTF">2018-04-23T03:02:08Z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