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F55" w:rsidRDefault="00AB2F55">
      <w:pPr>
        <w:ind w:firstLine="480"/>
      </w:pPr>
    </w:p>
    <w:p w:rsidR="00AB2F55" w:rsidRDefault="00AB2F55">
      <w:pPr>
        <w:ind w:firstLine="480"/>
      </w:pPr>
    </w:p>
    <w:p w:rsidR="00AB2F55" w:rsidRDefault="00AB2F55">
      <w:pPr>
        <w:ind w:firstLine="480"/>
        <w:jc w:val="center"/>
        <w:rPr>
          <w:color w:val="auto"/>
        </w:rPr>
      </w:pPr>
      <w:bookmarkStart w:id="0" w:name="_GoBack"/>
    </w:p>
    <w:bookmarkEnd w:id="0"/>
    <w:p w:rsidR="00AB2F55" w:rsidRDefault="00AB2F55">
      <w:pPr>
        <w:ind w:firstLine="480"/>
        <w:jc w:val="center"/>
        <w:rPr>
          <w:color w:val="auto"/>
        </w:rPr>
      </w:pPr>
    </w:p>
    <w:p w:rsidR="00AB2F55" w:rsidRDefault="00AB2F55">
      <w:pPr>
        <w:ind w:firstLine="480"/>
        <w:jc w:val="center"/>
        <w:rPr>
          <w:color w:val="auto"/>
        </w:rPr>
      </w:pPr>
    </w:p>
    <w:p w:rsidR="00AB2F55" w:rsidRDefault="00AB2F55">
      <w:pPr>
        <w:ind w:firstLine="480"/>
        <w:jc w:val="center"/>
        <w:rPr>
          <w:color w:val="auto"/>
        </w:rPr>
      </w:pPr>
    </w:p>
    <w:p w:rsidR="00AB2F55" w:rsidRDefault="00AB2F55">
      <w:pPr>
        <w:ind w:firstLine="720"/>
        <w:jc w:val="center"/>
        <w:rPr>
          <w:color w:val="auto"/>
          <w:sz w:val="36"/>
          <w:szCs w:val="36"/>
        </w:rPr>
      </w:pPr>
    </w:p>
    <w:p w:rsidR="00AB2F55" w:rsidRDefault="00AB2F55">
      <w:pPr>
        <w:ind w:firstLine="720"/>
        <w:jc w:val="center"/>
        <w:rPr>
          <w:color w:val="auto"/>
          <w:sz w:val="36"/>
          <w:szCs w:val="36"/>
        </w:rPr>
      </w:pPr>
    </w:p>
    <w:p w:rsidR="00AB2F55" w:rsidRDefault="00BA6C6A">
      <w:pPr>
        <w:ind w:firstLineChars="0" w:firstLine="0"/>
        <w:jc w:val="center"/>
        <w:rPr>
          <w:b/>
          <w:bCs/>
          <w:color w:val="auto"/>
          <w:sz w:val="32"/>
          <w:szCs w:val="32"/>
        </w:rPr>
      </w:pPr>
      <w:r>
        <w:rPr>
          <w:rFonts w:hint="eastAsia"/>
          <w:b/>
          <w:bCs/>
          <w:color w:val="auto"/>
          <w:sz w:val="32"/>
          <w:szCs w:val="32"/>
        </w:rPr>
        <w:t>《</w:t>
      </w:r>
      <w:r>
        <w:rPr>
          <w:rFonts w:hint="eastAsia"/>
          <w:b/>
          <w:bCs/>
          <w:color w:val="auto"/>
          <w:sz w:val="32"/>
          <w:szCs w:val="32"/>
        </w:rPr>
        <w:t>岩溶山地区金属矿区土壤污染风险管控与修复技术规范</w:t>
      </w:r>
      <w:r>
        <w:rPr>
          <w:rFonts w:hint="eastAsia"/>
          <w:b/>
          <w:bCs/>
          <w:color w:val="auto"/>
          <w:sz w:val="32"/>
          <w:szCs w:val="32"/>
        </w:rPr>
        <w:t>》</w:t>
      </w:r>
    </w:p>
    <w:p w:rsidR="00AB2F55" w:rsidRDefault="00BA6C6A">
      <w:pPr>
        <w:ind w:firstLineChars="0" w:firstLine="0"/>
        <w:jc w:val="center"/>
        <w:rPr>
          <w:b/>
          <w:bCs/>
          <w:color w:val="auto"/>
          <w:sz w:val="36"/>
          <w:szCs w:val="36"/>
        </w:rPr>
      </w:pPr>
      <w:r>
        <w:rPr>
          <w:rFonts w:hint="eastAsia"/>
          <w:b/>
          <w:bCs/>
          <w:color w:val="auto"/>
          <w:sz w:val="36"/>
          <w:szCs w:val="36"/>
        </w:rPr>
        <w:t>（征求意见</w:t>
      </w:r>
      <w:r>
        <w:rPr>
          <w:rFonts w:hint="eastAsia"/>
          <w:b/>
          <w:bCs/>
          <w:color w:val="auto"/>
          <w:sz w:val="36"/>
          <w:szCs w:val="36"/>
        </w:rPr>
        <w:t>稿</w:t>
      </w:r>
      <w:r>
        <w:rPr>
          <w:rFonts w:hint="eastAsia"/>
          <w:b/>
          <w:bCs/>
          <w:color w:val="auto"/>
          <w:sz w:val="36"/>
          <w:szCs w:val="36"/>
        </w:rPr>
        <w:t>）</w:t>
      </w:r>
    </w:p>
    <w:p w:rsidR="00AB2F55" w:rsidRDefault="00BA6C6A">
      <w:pPr>
        <w:ind w:firstLineChars="0" w:firstLine="0"/>
        <w:jc w:val="center"/>
        <w:rPr>
          <w:b/>
          <w:bCs/>
          <w:color w:val="auto"/>
          <w:sz w:val="36"/>
          <w:szCs w:val="36"/>
        </w:rPr>
      </w:pPr>
      <w:r>
        <w:rPr>
          <w:rFonts w:hint="eastAsia"/>
          <w:b/>
          <w:bCs/>
          <w:color w:val="auto"/>
          <w:sz w:val="32"/>
          <w:szCs w:val="32"/>
        </w:rPr>
        <w:t>编制说明</w:t>
      </w:r>
    </w:p>
    <w:p w:rsidR="00AB2F55" w:rsidRDefault="00AB2F55">
      <w:pPr>
        <w:pStyle w:val="Style1"/>
        <w:ind w:right="19"/>
        <w:rPr>
          <w:rFonts w:eastAsia="宋体"/>
          <w:sz w:val="36"/>
          <w:szCs w:val="36"/>
        </w:rPr>
      </w:pPr>
    </w:p>
    <w:p w:rsidR="00AB2F55" w:rsidRDefault="00AB2F55">
      <w:pPr>
        <w:pStyle w:val="Style1"/>
        <w:ind w:right="19"/>
        <w:rPr>
          <w:rFonts w:eastAsia="宋体"/>
          <w:sz w:val="36"/>
          <w:szCs w:val="36"/>
        </w:rPr>
      </w:pPr>
    </w:p>
    <w:p w:rsidR="00AB2F55" w:rsidRDefault="00AB2F55">
      <w:pPr>
        <w:pStyle w:val="Style1"/>
        <w:ind w:right="19"/>
        <w:rPr>
          <w:rFonts w:eastAsia="宋体"/>
          <w:sz w:val="36"/>
          <w:szCs w:val="36"/>
        </w:rPr>
      </w:pPr>
    </w:p>
    <w:p w:rsidR="00AB2F55" w:rsidRDefault="00AB2F55">
      <w:pPr>
        <w:pStyle w:val="Style1"/>
        <w:spacing w:line="360" w:lineRule="auto"/>
        <w:ind w:right="19" w:firstLine="0"/>
        <w:jc w:val="center"/>
        <w:rPr>
          <w:rFonts w:eastAsia="宋体"/>
        </w:rPr>
      </w:pPr>
    </w:p>
    <w:p w:rsidR="00AB2F55" w:rsidRDefault="00AB2F55">
      <w:pPr>
        <w:pStyle w:val="Style1"/>
        <w:spacing w:line="360" w:lineRule="auto"/>
        <w:ind w:right="19" w:firstLine="0"/>
        <w:jc w:val="center"/>
        <w:rPr>
          <w:rFonts w:eastAsia="宋体"/>
        </w:rPr>
      </w:pPr>
    </w:p>
    <w:p w:rsidR="00AB2F55" w:rsidRDefault="00AB2F55">
      <w:pPr>
        <w:pStyle w:val="Style1"/>
        <w:spacing w:line="360" w:lineRule="auto"/>
        <w:ind w:right="19" w:firstLine="0"/>
        <w:jc w:val="center"/>
        <w:rPr>
          <w:rFonts w:eastAsia="宋体"/>
        </w:rPr>
      </w:pPr>
    </w:p>
    <w:p w:rsidR="00AB2F55" w:rsidRDefault="00AB2F55">
      <w:pPr>
        <w:pStyle w:val="Style1"/>
        <w:spacing w:line="360" w:lineRule="auto"/>
        <w:ind w:right="19" w:firstLine="0"/>
        <w:jc w:val="center"/>
        <w:rPr>
          <w:rFonts w:eastAsia="宋体"/>
        </w:rPr>
      </w:pPr>
    </w:p>
    <w:p w:rsidR="00AB2F55" w:rsidRDefault="00BA6C6A">
      <w:pPr>
        <w:pStyle w:val="Style1"/>
        <w:spacing w:line="360" w:lineRule="auto"/>
        <w:ind w:right="19" w:firstLine="0"/>
        <w:jc w:val="center"/>
        <w:rPr>
          <w:rFonts w:eastAsia="宋体"/>
        </w:rPr>
      </w:pPr>
      <w:r>
        <w:rPr>
          <w:rFonts w:eastAsia="宋体" w:hint="eastAsia"/>
        </w:rPr>
        <w:t>贵州大学</w:t>
      </w:r>
    </w:p>
    <w:p w:rsidR="00AB2F55" w:rsidRDefault="00BA6C6A">
      <w:pPr>
        <w:pStyle w:val="Style1"/>
        <w:spacing w:line="360" w:lineRule="auto"/>
        <w:ind w:right="19" w:firstLine="0"/>
        <w:jc w:val="center"/>
        <w:rPr>
          <w:rFonts w:eastAsia="宋体"/>
        </w:rPr>
      </w:pPr>
      <w:r>
        <w:rPr>
          <w:rFonts w:eastAsia="宋体" w:hint="eastAsia"/>
        </w:rPr>
        <w:t>中国节能中咨华瑞科技有限公司</w:t>
      </w:r>
    </w:p>
    <w:p w:rsidR="00AB2F55" w:rsidRDefault="00BA6C6A">
      <w:pPr>
        <w:pStyle w:val="Style1"/>
        <w:spacing w:line="360" w:lineRule="auto"/>
        <w:ind w:right="19" w:firstLine="0"/>
        <w:jc w:val="center"/>
        <w:rPr>
          <w:rFonts w:eastAsia="宋体"/>
        </w:rPr>
      </w:pPr>
      <w:r>
        <w:rPr>
          <w:rFonts w:eastAsia="宋体" w:hint="eastAsia"/>
        </w:rPr>
        <w:t>中国科学院南京土壤研究所</w:t>
      </w:r>
    </w:p>
    <w:p w:rsidR="00AB2F55" w:rsidRDefault="00AB2F55">
      <w:pPr>
        <w:pStyle w:val="Style1"/>
        <w:spacing w:line="360" w:lineRule="auto"/>
        <w:ind w:right="19" w:firstLine="0"/>
        <w:jc w:val="center"/>
        <w:rPr>
          <w:rFonts w:eastAsia="宋体"/>
        </w:rPr>
      </w:pPr>
    </w:p>
    <w:p w:rsidR="00AB2F55" w:rsidRDefault="00BA6C6A">
      <w:pPr>
        <w:pStyle w:val="Style1"/>
        <w:spacing w:line="360" w:lineRule="auto"/>
        <w:ind w:right="19" w:firstLine="0"/>
        <w:jc w:val="center"/>
        <w:rPr>
          <w:rFonts w:eastAsia="宋体"/>
        </w:rPr>
      </w:pPr>
      <w:r>
        <w:rPr>
          <w:rFonts w:eastAsia="宋体" w:hint="eastAsia"/>
        </w:rPr>
        <w:t>二</w:t>
      </w:r>
      <w:r>
        <w:rPr>
          <w:rFonts w:eastAsia="宋体" w:hint="eastAsia"/>
        </w:rPr>
        <w:t>O</w:t>
      </w:r>
      <w:r>
        <w:rPr>
          <w:rFonts w:eastAsia="宋体" w:hint="eastAsia"/>
        </w:rPr>
        <w:t>二三</w:t>
      </w:r>
      <w:r>
        <w:rPr>
          <w:rFonts w:eastAsia="宋体" w:hint="eastAsia"/>
        </w:rPr>
        <w:t xml:space="preserve"> </w:t>
      </w:r>
      <w:r>
        <w:rPr>
          <w:rFonts w:eastAsia="宋体" w:hint="eastAsia"/>
        </w:rPr>
        <w:t>年</w:t>
      </w:r>
      <w:r>
        <w:rPr>
          <w:rFonts w:eastAsia="宋体" w:hint="eastAsia"/>
        </w:rPr>
        <w:t xml:space="preserve"> </w:t>
      </w:r>
      <w:r>
        <w:rPr>
          <w:rFonts w:eastAsia="宋体" w:hint="eastAsia"/>
        </w:rPr>
        <w:t>六</w:t>
      </w:r>
      <w:r>
        <w:rPr>
          <w:rFonts w:eastAsia="宋体" w:hint="eastAsia"/>
        </w:rPr>
        <w:t xml:space="preserve"> </w:t>
      </w:r>
      <w:r>
        <w:rPr>
          <w:rFonts w:eastAsia="宋体" w:hint="eastAsia"/>
        </w:rPr>
        <w:t>月</w:t>
      </w:r>
    </w:p>
    <w:p w:rsidR="00AB2F55" w:rsidRDefault="00AB2F55">
      <w:pPr>
        <w:pStyle w:val="Style1"/>
        <w:spacing w:line="360" w:lineRule="auto"/>
        <w:ind w:right="19" w:firstLine="0"/>
        <w:jc w:val="center"/>
        <w:rPr>
          <w:rFonts w:eastAsia="宋体"/>
        </w:rPr>
      </w:pPr>
    </w:p>
    <w:p w:rsidR="00AB2F55" w:rsidRDefault="00AB2F55">
      <w:pPr>
        <w:pStyle w:val="Style1"/>
        <w:spacing w:line="360" w:lineRule="auto"/>
        <w:ind w:right="19" w:firstLine="0"/>
        <w:jc w:val="center"/>
        <w:rPr>
          <w:rFonts w:eastAsia="宋体"/>
        </w:rPr>
      </w:pPr>
    </w:p>
    <w:p w:rsidR="00AB2F55" w:rsidRDefault="00AB2F55">
      <w:pPr>
        <w:ind w:firstLine="480"/>
      </w:pPr>
    </w:p>
    <w:p w:rsidR="00AB2F55" w:rsidRDefault="00AB2F55">
      <w:pPr>
        <w:ind w:firstLine="480"/>
      </w:pPr>
    </w:p>
    <w:sdt>
      <w:sdtPr>
        <w:rPr>
          <w:rFonts w:ascii="宋体" w:hAnsi="宋体"/>
          <w:sz w:val="20"/>
          <w:szCs w:val="20"/>
        </w:rPr>
        <w:id w:val="147458852"/>
        <w15:color w:val="DBDBDB"/>
        <w:docPartObj>
          <w:docPartGallery w:val="Table of Contents"/>
          <w:docPartUnique/>
        </w:docPartObj>
      </w:sdtPr>
      <w:sdtEndPr>
        <w:rPr>
          <w:rFonts w:ascii="仿宋_GB2312" w:eastAsia="仿宋_GB2312" w:cstheme="minorBidi"/>
          <w:kern w:val="2"/>
          <w:sz w:val="28"/>
          <w:szCs w:val="28"/>
        </w:rPr>
      </w:sdtEndPr>
      <w:sdtContent>
        <w:p w:rsidR="00AB2F55" w:rsidRDefault="00BA6C6A">
          <w:pPr>
            <w:spacing w:line="240" w:lineRule="auto"/>
            <w:ind w:firstLineChars="0" w:firstLine="0"/>
            <w:jc w:val="center"/>
            <w:rPr>
              <w:b/>
              <w:bCs/>
              <w:sz w:val="44"/>
              <w:szCs w:val="36"/>
            </w:rPr>
          </w:pPr>
          <w:r>
            <w:rPr>
              <w:rFonts w:ascii="宋体" w:hAnsi="宋体"/>
              <w:b/>
              <w:bCs/>
              <w:sz w:val="36"/>
              <w:szCs w:val="36"/>
            </w:rPr>
            <w:t>目录</w:t>
          </w:r>
        </w:p>
        <w:p w:rsidR="00AB2F55" w:rsidRDefault="00BA6C6A">
          <w:pPr>
            <w:pStyle w:val="10"/>
            <w:tabs>
              <w:tab w:val="right" w:leader="dot" w:pos="8555"/>
            </w:tabs>
            <w:ind w:firstLine="480"/>
          </w:pPr>
          <w:r>
            <w:fldChar w:fldCharType="begin"/>
          </w:r>
          <w:r>
            <w:instrText xml:space="preserve">TOC \o "1-3" \h \u </w:instrText>
          </w:r>
          <w:r>
            <w:fldChar w:fldCharType="separate"/>
          </w:r>
          <w:hyperlink w:anchor="_Toc28032" w:history="1">
            <w:r>
              <w:rPr>
                <w:rFonts w:hint="eastAsia"/>
              </w:rPr>
              <w:t xml:space="preserve">1 </w:t>
            </w:r>
            <w:r>
              <w:t>工作简况</w:t>
            </w:r>
            <w:r>
              <w:tab/>
            </w:r>
            <w:r>
              <w:fldChar w:fldCharType="begin"/>
            </w:r>
            <w:r>
              <w:instrText xml:space="preserve"> PAGEREF _Toc28032 \h </w:instrText>
            </w:r>
            <w:r>
              <w:fldChar w:fldCharType="separate"/>
            </w:r>
            <w:r>
              <w:t>1</w:t>
            </w:r>
            <w:r>
              <w:fldChar w:fldCharType="end"/>
            </w:r>
          </w:hyperlink>
        </w:p>
        <w:p w:rsidR="00AB2F55" w:rsidRDefault="00BA6C6A">
          <w:pPr>
            <w:pStyle w:val="20"/>
            <w:tabs>
              <w:tab w:val="right" w:leader="dot" w:pos="8555"/>
            </w:tabs>
            <w:ind w:left="480" w:firstLine="480"/>
          </w:pPr>
          <w:hyperlink w:anchor="_Toc2410" w:history="1">
            <w:r>
              <w:t xml:space="preserve">1.1 </w:t>
            </w:r>
            <w:r>
              <w:t>任务来源</w:t>
            </w:r>
            <w:r>
              <w:rPr>
                <w:rFonts w:hint="eastAsia"/>
              </w:rPr>
              <w:t>及编制依据</w:t>
            </w:r>
            <w:r>
              <w:tab/>
            </w:r>
            <w:r>
              <w:fldChar w:fldCharType="begin"/>
            </w:r>
            <w:r>
              <w:instrText xml:space="preserve"> PAGEREF _Toc2410 \h </w:instrText>
            </w:r>
            <w:r>
              <w:fldChar w:fldCharType="separate"/>
            </w:r>
            <w:r>
              <w:t>1</w:t>
            </w:r>
            <w:r>
              <w:fldChar w:fldCharType="end"/>
            </w:r>
          </w:hyperlink>
        </w:p>
        <w:p w:rsidR="00AB2F55" w:rsidRDefault="00BA6C6A">
          <w:pPr>
            <w:pStyle w:val="30"/>
            <w:tabs>
              <w:tab w:val="right" w:leader="dot" w:pos="8555"/>
            </w:tabs>
            <w:ind w:left="960" w:firstLine="480"/>
          </w:pPr>
          <w:hyperlink w:anchor="_Toc16812" w:history="1">
            <w:r>
              <w:rPr>
                <w:rFonts w:hint="eastAsia"/>
              </w:rPr>
              <w:t xml:space="preserve">1.1.1 </w:t>
            </w:r>
            <w:r>
              <w:rPr>
                <w:rFonts w:hint="eastAsia"/>
              </w:rPr>
              <w:t>任务来源</w:t>
            </w:r>
            <w:r>
              <w:tab/>
            </w:r>
            <w:r>
              <w:fldChar w:fldCharType="begin"/>
            </w:r>
            <w:r>
              <w:instrText xml:space="preserve"> PAGEREF _Toc16812 \h </w:instrText>
            </w:r>
            <w:r>
              <w:fldChar w:fldCharType="separate"/>
            </w:r>
            <w:r>
              <w:t>1</w:t>
            </w:r>
            <w:r>
              <w:fldChar w:fldCharType="end"/>
            </w:r>
          </w:hyperlink>
        </w:p>
        <w:p w:rsidR="00AB2F55" w:rsidRDefault="00BA6C6A">
          <w:pPr>
            <w:pStyle w:val="30"/>
            <w:tabs>
              <w:tab w:val="right" w:leader="dot" w:pos="8555"/>
            </w:tabs>
            <w:ind w:left="960" w:firstLine="480"/>
          </w:pPr>
          <w:hyperlink w:anchor="_Toc3217" w:history="1">
            <w:r>
              <w:rPr>
                <w:rFonts w:hint="eastAsia"/>
              </w:rPr>
              <w:t xml:space="preserve">1.1.2 </w:t>
            </w:r>
            <w:r>
              <w:rPr>
                <w:rFonts w:hint="eastAsia"/>
              </w:rPr>
              <w:t>编制依据</w:t>
            </w:r>
            <w:r>
              <w:tab/>
            </w:r>
            <w:r>
              <w:fldChar w:fldCharType="begin"/>
            </w:r>
            <w:r>
              <w:instrText xml:space="preserve"> PAGEREF _Toc3217 \h </w:instrText>
            </w:r>
            <w:r>
              <w:fldChar w:fldCharType="separate"/>
            </w:r>
            <w:r>
              <w:t>1</w:t>
            </w:r>
            <w:r>
              <w:fldChar w:fldCharType="end"/>
            </w:r>
          </w:hyperlink>
        </w:p>
        <w:p w:rsidR="00AB2F55" w:rsidRDefault="00BA6C6A">
          <w:pPr>
            <w:pStyle w:val="20"/>
            <w:tabs>
              <w:tab w:val="right" w:leader="dot" w:pos="8555"/>
            </w:tabs>
            <w:ind w:left="480" w:firstLine="480"/>
          </w:pPr>
          <w:hyperlink w:anchor="_Toc18902" w:history="1">
            <w:r>
              <w:t>1</w:t>
            </w:r>
            <w:r>
              <w:rPr>
                <w:rFonts w:hint="eastAsia"/>
              </w:rPr>
              <w:t>.</w:t>
            </w:r>
            <w:r>
              <w:t xml:space="preserve">2 </w:t>
            </w:r>
            <w:r>
              <w:t>标准制定的目的和</w:t>
            </w:r>
            <w:r>
              <w:rPr>
                <w:rFonts w:hint="eastAsia"/>
              </w:rPr>
              <w:t>意义</w:t>
            </w:r>
            <w:r>
              <w:tab/>
            </w:r>
            <w:r>
              <w:fldChar w:fldCharType="begin"/>
            </w:r>
            <w:r>
              <w:instrText xml:space="preserve"> PAGEREF _Toc18902 \h </w:instrText>
            </w:r>
            <w:r>
              <w:fldChar w:fldCharType="separate"/>
            </w:r>
            <w:r>
              <w:t>2</w:t>
            </w:r>
            <w:r>
              <w:fldChar w:fldCharType="end"/>
            </w:r>
          </w:hyperlink>
        </w:p>
        <w:p w:rsidR="00AB2F55" w:rsidRDefault="00BA6C6A">
          <w:pPr>
            <w:pStyle w:val="30"/>
            <w:tabs>
              <w:tab w:val="right" w:leader="dot" w:pos="8555"/>
            </w:tabs>
            <w:ind w:left="960" w:firstLine="480"/>
          </w:pPr>
          <w:hyperlink w:anchor="_Toc3421" w:history="1">
            <w:r>
              <w:rPr>
                <w:rFonts w:hint="eastAsia"/>
              </w:rPr>
              <w:t xml:space="preserve">1.2.1 </w:t>
            </w:r>
            <w:r>
              <w:rPr>
                <w:rFonts w:hint="eastAsia"/>
              </w:rPr>
              <w:t>标准制定的目的</w:t>
            </w:r>
            <w:r>
              <w:tab/>
            </w:r>
            <w:r>
              <w:fldChar w:fldCharType="begin"/>
            </w:r>
            <w:r>
              <w:instrText xml:space="preserve"> PAGEREF _Toc3421 \h </w:instrText>
            </w:r>
            <w:r>
              <w:fldChar w:fldCharType="separate"/>
            </w:r>
            <w:r>
              <w:t>2</w:t>
            </w:r>
            <w:r>
              <w:fldChar w:fldCharType="end"/>
            </w:r>
          </w:hyperlink>
        </w:p>
        <w:p w:rsidR="00AB2F55" w:rsidRDefault="00BA6C6A">
          <w:pPr>
            <w:pStyle w:val="30"/>
            <w:tabs>
              <w:tab w:val="right" w:leader="dot" w:pos="8555"/>
            </w:tabs>
            <w:ind w:left="960" w:firstLine="480"/>
          </w:pPr>
          <w:hyperlink w:anchor="_Toc4407" w:history="1">
            <w:r>
              <w:rPr>
                <w:rFonts w:hint="eastAsia"/>
              </w:rPr>
              <w:t xml:space="preserve">1.2.2 </w:t>
            </w:r>
            <w:r>
              <w:rPr>
                <w:rFonts w:hint="eastAsia"/>
              </w:rPr>
              <w:t>标准制定的意义</w:t>
            </w:r>
            <w:r>
              <w:tab/>
            </w:r>
            <w:r>
              <w:fldChar w:fldCharType="begin"/>
            </w:r>
            <w:r>
              <w:instrText xml:space="preserve"> PAGEREF _Toc4407 \h </w:instrText>
            </w:r>
            <w:r>
              <w:fldChar w:fldCharType="separate"/>
            </w:r>
            <w:r>
              <w:t>2</w:t>
            </w:r>
            <w:r>
              <w:fldChar w:fldCharType="end"/>
            </w:r>
          </w:hyperlink>
        </w:p>
        <w:p w:rsidR="00AB2F55" w:rsidRDefault="00BA6C6A">
          <w:pPr>
            <w:pStyle w:val="20"/>
            <w:tabs>
              <w:tab w:val="right" w:leader="dot" w:pos="8555"/>
            </w:tabs>
            <w:ind w:left="480" w:firstLine="480"/>
          </w:pPr>
          <w:hyperlink w:anchor="_Toc6408" w:history="1">
            <w:r>
              <w:rPr>
                <w:rFonts w:hint="eastAsia"/>
              </w:rPr>
              <w:t xml:space="preserve">1.3 </w:t>
            </w:r>
            <w:r>
              <w:rPr>
                <w:rFonts w:hint="eastAsia"/>
              </w:rPr>
              <w:t>主要工作过程</w:t>
            </w:r>
            <w:r>
              <w:tab/>
            </w:r>
            <w:r>
              <w:fldChar w:fldCharType="begin"/>
            </w:r>
            <w:r>
              <w:instrText xml:space="preserve"> PAGEREF _Toc6408 \h </w:instrText>
            </w:r>
            <w:r>
              <w:fldChar w:fldCharType="separate"/>
            </w:r>
            <w:r>
              <w:t>4</w:t>
            </w:r>
            <w:r>
              <w:fldChar w:fldCharType="end"/>
            </w:r>
          </w:hyperlink>
        </w:p>
        <w:p w:rsidR="00AB2F55" w:rsidRDefault="00BA6C6A">
          <w:pPr>
            <w:pStyle w:val="30"/>
            <w:tabs>
              <w:tab w:val="right" w:leader="dot" w:pos="8555"/>
            </w:tabs>
            <w:ind w:left="960" w:firstLine="480"/>
          </w:pPr>
          <w:hyperlink w:anchor="_Toc2917" w:history="1">
            <w:r>
              <w:rPr>
                <w:rFonts w:hint="eastAsia"/>
              </w:rPr>
              <w:t xml:space="preserve">1.3.1 </w:t>
            </w:r>
            <w:r>
              <w:rPr>
                <w:rFonts w:hint="eastAsia"/>
              </w:rPr>
              <w:t>准备阶段</w:t>
            </w:r>
            <w:r>
              <w:tab/>
            </w:r>
            <w:r>
              <w:fldChar w:fldCharType="begin"/>
            </w:r>
            <w:r>
              <w:instrText xml:space="preserve"> PAGEREF _Toc2917 \h </w:instrText>
            </w:r>
            <w:r>
              <w:fldChar w:fldCharType="separate"/>
            </w:r>
            <w:r>
              <w:t>4</w:t>
            </w:r>
            <w:r>
              <w:fldChar w:fldCharType="end"/>
            </w:r>
          </w:hyperlink>
        </w:p>
        <w:p w:rsidR="00AB2F55" w:rsidRDefault="00BA6C6A">
          <w:pPr>
            <w:pStyle w:val="30"/>
            <w:tabs>
              <w:tab w:val="right" w:leader="dot" w:pos="8555"/>
            </w:tabs>
            <w:ind w:left="960" w:firstLine="480"/>
          </w:pPr>
          <w:hyperlink w:anchor="_Toc2832" w:history="1">
            <w:r>
              <w:rPr>
                <w:rFonts w:hint="eastAsia"/>
              </w:rPr>
              <w:t xml:space="preserve">1.3.2 </w:t>
            </w:r>
            <w:r>
              <w:rPr>
                <w:rFonts w:hint="eastAsia"/>
              </w:rPr>
              <w:t>起草阶段和准备报批稿的形成</w:t>
            </w:r>
            <w:r>
              <w:tab/>
            </w:r>
            <w:r>
              <w:fldChar w:fldCharType="begin"/>
            </w:r>
            <w:r>
              <w:instrText xml:space="preserve"> PAGEREF _Toc2832 \h </w:instrText>
            </w:r>
            <w:r>
              <w:fldChar w:fldCharType="separate"/>
            </w:r>
            <w:r>
              <w:t>4</w:t>
            </w:r>
            <w:r>
              <w:fldChar w:fldCharType="end"/>
            </w:r>
          </w:hyperlink>
        </w:p>
        <w:p w:rsidR="00AB2F55" w:rsidRDefault="00BA6C6A">
          <w:pPr>
            <w:pStyle w:val="20"/>
            <w:tabs>
              <w:tab w:val="right" w:leader="dot" w:pos="8555"/>
            </w:tabs>
            <w:ind w:left="480" w:firstLine="480"/>
          </w:pPr>
          <w:hyperlink w:anchor="_Toc27450" w:history="1">
            <w:r>
              <w:rPr>
                <w:rFonts w:hint="eastAsia"/>
              </w:rPr>
              <w:t xml:space="preserve">1.4 </w:t>
            </w:r>
            <w:r>
              <w:rPr>
                <w:rFonts w:hint="eastAsia"/>
              </w:rPr>
              <w:t>主要参加起草单位和工作组成员所做的工作</w:t>
            </w:r>
            <w:r>
              <w:tab/>
            </w:r>
            <w:r>
              <w:fldChar w:fldCharType="begin"/>
            </w:r>
            <w:r>
              <w:instrText xml:space="preserve"> PAGEREF _Toc</w:instrText>
            </w:r>
            <w:r>
              <w:instrText xml:space="preserve">27450 \h </w:instrText>
            </w:r>
            <w:r>
              <w:fldChar w:fldCharType="separate"/>
            </w:r>
            <w:r>
              <w:t>4</w:t>
            </w:r>
            <w:r>
              <w:fldChar w:fldCharType="end"/>
            </w:r>
          </w:hyperlink>
        </w:p>
        <w:p w:rsidR="00AB2F55" w:rsidRDefault="00BA6C6A">
          <w:pPr>
            <w:pStyle w:val="10"/>
            <w:tabs>
              <w:tab w:val="right" w:leader="dot" w:pos="8555"/>
            </w:tabs>
            <w:ind w:firstLine="480"/>
          </w:pPr>
          <w:hyperlink w:anchor="_Toc17135" w:history="1">
            <w:r>
              <w:rPr>
                <w:rFonts w:hint="eastAsia"/>
              </w:rPr>
              <w:t xml:space="preserve">2 </w:t>
            </w:r>
            <w:r>
              <w:rPr>
                <w:rFonts w:hint="eastAsia"/>
              </w:rPr>
              <w:t>标准编制原则确定标准的主要依据</w:t>
            </w:r>
            <w:r>
              <w:tab/>
            </w:r>
            <w:r>
              <w:fldChar w:fldCharType="begin"/>
            </w:r>
            <w:r>
              <w:instrText xml:space="preserve"> PAGEREF _Toc17135 \h </w:instrText>
            </w:r>
            <w:r>
              <w:fldChar w:fldCharType="separate"/>
            </w:r>
            <w:r>
              <w:t>4</w:t>
            </w:r>
            <w:r>
              <w:fldChar w:fldCharType="end"/>
            </w:r>
          </w:hyperlink>
        </w:p>
        <w:p w:rsidR="00AB2F55" w:rsidRDefault="00BA6C6A">
          <w:pPr>
            <w:pStyle w:val="20"/>
            <w:tabs>
              <w:tab w:val="right" w:leader="dot" w:pos="8555"/>
            </w:tabs>
            <w:ind w:left="480" w:firstLine="480"/>
          </w:pPr>
          <w:hyperlink w:anchor="_Toc21031" w:history="1">
            <w:r>
              <w:rPr>
                <w:rFonts w:hint="eastAsia"/>
              </w:rPr>
              <w:t xml:space="preserve">2.1 </w:t>
            </w:r>
            <w:r>
              <w:rPr>
                <w:rFonts w:hint="eastAsia"/>
              </w:rPr>
              <w:t>确定标准的主要技术指标的基本原则</w:t>
            </w:r>
            <w:r>
              <w:tab/>
            </w:r>
            <w:r>
              <w:fldChar w:fldCharType="begin"/>
            </w:r>
            <w:r>
              <w:instrText xml:space="preserve"> </w:instrText>
            </w:r>
            <w:r>
              <w:instrText xml:space="preserve">PAGEREF _Toc21031 \h </w:instrText>
            </w:r>
            <w:r>
              <w:fldChar w:fldCharType="separate"/>
            </w:r>
            <w:r>
              <w:t>4</w:t>
            </w:r>
            <w:r>
              <w:fldChar w:fldCharType="end"/>
            </w:r>
          </w:hyperlink>
        </w:p>
        <w:p w:rsidR="00AB2F55" w:rsidRDefault="00BA6C6A">
          <w:pPr>
            <w:pStyle w:val="20"/>
            <w:tabs>
              <w:tab w:val="right" w:leader="dot" w:pos="8555"/>
            </w:tabs>
            <w:ind w:left="480" w:firstLine="480"/>
          </w:pPr>
          <w:hyperlink w:anchor="_Toc9383" w:history="1">
            <w:r>
              <w:rPr>
                <w:rFonts w:hint="eastAsia"/>
              </w:rPr>
              <w:t xml:space="preserve">2.2 </w:t>
            </w:r>
            <w:r>
              <w:rPr>
                <w:rFonts w:hint="eastAsia"/>
              </w:rPr>
              <w:t>标准编写原则</w:t>
            </w:r>
            <w:r>
              <w:tab/>
            </w:r>
            <w:r>
              <w:fldChar w:fldCharType="begin"/>
            </w:r>
            <w:r>
              <w:instrText xml:space="preserve"> PAGEREF _Toc9383 \h </w:instrText>
            </w:r>
            <w:r>
              <w:fldChar w:fldCharType="separate"/>
            </w:r>
            <w:r>
              <w:t>5</w:t>
            </w:r>
            <w:r>
              <w:fldChar w:fldCharType="end"/>
            </w:r>
          </w:hyperlink>
        </w:p>
        <w:p w:rsidR="00AB2F55" w:rsidRDefault="00BA6C6A">
          <w:pPr>
            <w:pStyle w:val="20"/>
            <w:tabs>
              <w:tab w:val="right" w:leader="dot" w:pos="8555"/>
            </w:tabs>
            <w:ind w:left="480" w:firstLine="480"/>
          </w:pPr>
          <w:hyperlink w:anchor="_Toc8983" w:history="1">
            <w:r>
              <w:rPr>
                <w:rFonts w:hint="eastAsia"/>
              </w:rPr>
              <w:t xml:space="preserve">2.3 </w:t>
            </w:r>
            <w:r>
              <w:rPr>
                <w:rFonts w:hint="eastAsia"/>
              </w:rPr>
              <w:t>主要技术内容</w:t>
            </w:r>
            <w:r>
              <w:tab/>
            </w:r>
            <w:r>
              <w:fldChar w:fldCharType="begin"/>
            </w:r>
            <w:r>
              <w:instrText xml:space="preserve"> PAGEREF </w:instrText>
            </w:r>
            <w:r>
              <w:instrText xml:space="preserve">_Toc8983 \h </w:instrText>
            </w:r>
            <w:r>
              <w:fldChar w:fldCharType="separate"/>
            </w:r>
            <w:r>
              <w:t>5</w:t>
            </w:r>
            <w:r>
              <w:fldChar w:fldCharType="end"/>
            </w:r>
          </w:hyperlink>
        </w:p>
        <w:p w:rsidR="00AB2F55" w:rsidRDefault="00BA6C6A">
          <w:pPr>
            <w:pStyle w:val="30"/>
            <w:tabs>
              <w:tab w:val="right" w:leader="dot" w:pos="8555"/>
            </w:tabs>
            <w:ind w:left="960" w:firstLine="480"/>
          </w:pPr>
          <w:hyperlink w:anchor="_Toc8874" w:history="1">
            <w:r>
              <w:rPr>
                <w:rFonts w:hint="eastAsia"/>
              </w:rPr>
              <w:t xml:space="preserve">2.3.1 </w:t>
            </w:r>
            <w:r>
              <w:t>适用范围</w:t>
            </w:r>
            <w:r>
              <w:tab/>
            </w:r>
            <w:r>
              <w:fldChar w:fldCharType="begin"/>
            </w:r>
            <w:r>
              <w:instrText xml:space="preserve"> PAGEREF _Toc8874 \h </w:instrText>
            </w:r>
            <w:r>
              <w:fldChar w:fldCharType="separate"/>
            </w:r>
            <w:r>
              <w:t>5</w:t>
            </w:r>
            <w:r>
              <w:fldChar w:fldCharType="end"/>
            </w:r>
          </w:hyperlink>
        </w:p>
        <w:p w:rsidR="00AB2F55" w:rsidRDefault="00BA6C6A">
          <w:pPr>
            <w:pStyle w:val="30"/>
            <w:tabs>
              <w:tab w:val="right" w:leader="dot" w:pos="8555"/>
            </w:tabs>
            <w:ind w:left="960" w:firstLine="480"/>
          </w:pPr>
          <w:hyperlink w:anchor="_Toc23867" w:history="1">
            <w:r>
              <w:rPr>
                <w:rFonts w:hint="eastAsia"/>
              </w:rPr>
              <w:t xml:space="preserve">2.3.2 </w:t>
            </w:r>
            <w:r>
              <w:rPr>
                <w:rFonts w:hint="eastAsia"/>
              </w:rPr>
              <w:t>规范性引用文件</w:t>
            </w:r>
            <w:r>
              <w:tab/>
            </w:r>
            <w:r>
              <w:fldChar w:fldCharType="begin"/>
            </w:r>
            <w:r>
              <w:instrText xml:space="preserve"> PAGEREF _Toc2386</w:instrText>
            </w:r>
            <w:r>
              <w:instrText xml:space="preserve">7 \h </w:instrText>
            </w:r>
            <w:r>
              <w:fldChar w:fldCharType="separate"/>
            </w:r>
            <w:r>
              <w:t>5</w:t>
            </w:r>
            <w:r>
              <w:fldChar w:fldCharType="end"/>
            </w:r>
          </w:hyperlink>
        </w:p>
        <w:p w:rsidR="00AB2F55" w:rsidRDefault="00BA6C6A">
          <w:pPr>
            <w:pStyle w:val="30"/>
            <w:tabs>
              <w:tab w:val="right" w:leader="dot" w:pos="8555"/>
            </w:tabs>
            <w:ind w:left="960" w:firstLine="480"/>
          </w:pPr>
          <w:hyperlink w:anchor="_Toc17368" w:history="1">
            <w:r>
              <w:rPr>
                <w:rFonts w:hint="eastAsia"/>
              </w:rPr>
              <w:t xml:space="preserve">2.3.3 </w:t>
            </w:r>
            <w:r>
              <w:t>术语和定义</w:t>
            </w:r>
            <w:r>
              <w:tab/>
            </w:r>
            <w:r>
              <w:fldChar w:fldCharType="begin"/>
            </w:r>
            <w:r>
              <w:instrText xml:space="preserve"> PAGEREF _Toc17368 \h </w:instrText>
            </w:r>
            <w:r>
              <w:fldChar w:fldCharType="separate"/>
            </w:r>
            <w:r>
              <w:t>7</w:t>
            </w:r>
            <w:r>
              <w:fldChar w:fldCharType="end"/>
            </w:r>
          </w:hyperlink>
        </w:p>
        <w:p w:rsidR="00AB2F55" w:rsidRDefault="00BA6C6A">
          <w:pPr>
            <w:pStyle w:val="30"/>
            <w:tabs>
              <w:tab w:val="right" w:leader="dot" w:pos="8555"/>
            </w:tabs>
            <w:ind w:left="960" w:firstLine="480"/>
          </w:pPr>
          <w:hyperlink w:anchor="_Toc18049" w:history="1">
            <w:r>
              <w:rPr>
                <w:rFonts w:hint="eastAsia"/>
              </w:rPr>
              <w:t xml:space="preserve">2.3.4 </w:t>
            </w:r>
            <w:r>
              <w:t>工作流程</w:t>
            </w:r>
            <w:r>
              <w:tab/>
            </w:r>
            <w:r>
              <w:fldChar w:fldCharType="begin"/>
            </w:r>
            <w:r>
              <w:instrText xml:space="preserve"> PAGEREF _Toc18049 \h </w:instrText>
            </w:r>
            <w:r>
              <w:fldChar w:fldCharType="separate"/>
            </w:r>
            <w:r>
              <w:t>7</w:t>
            </w:r>
            <w:r>
              <w:fldChar w:fldCharType="end"/>
            </w:r>
          </w:hyperlink>
        </w:p>
        <w:p w:rsidR="00AB2F55" w:rsidRDefault="00BA6C6A">
          <w:pPr>
            <w:pStyle w:val="30"/>
            <w:tabs>
              <w:tab w:val="right" w:leader="dot" w:pos="8555"/>
            </w:tabs>
            <w:ind w:left="960" w:firstLine="480"/>
          </w:pPr>
          <w:hyperlink w:anchor="_Toc28339" w:history="1">
            <w:r>
              <w:rPr>
                <w:rFonts w:hint="eastAsia"/>
              </w:rPr>
              <w:t xml:space="preserve">2.3.5 </w:t>
            </w:r>
            <w:r>
              <w:rPr>
                <w:rFonts w:hint="eastAsia"/>
              </w:rPr>
              <w:t>矿区</w:t>
            </w:r>
            <w:r>
              <w:t>环境调</w:t>
            </w:r>
            <w:r>
              <w:rPr>
                <w:rFonts w:hint="eastAsia"/>
              </w:rPr>
              <w:t>查</w:t>
            </w:r>
            <w:r>
              <w:tab/>
            </w:r>
            <w:r>
              <w:fldChar w:fldCharType="begin"/>
            </w:r>
            <w:r>
              <w:instrText xml:space="preserve"> PAGEREF _Toc28339 \h </w:instrText>
            </w:r>
            <w:r>
              <w:fldChar w:fldCharType="separate"/>
            </w:r>
            <w:r>
              <w:t>7</w:t>
            </w:r>
            <w:r>
              <w:fldChar w:fldCharType="end"/>
            </w:r>
          </w:hyperlink>
        </w:p>
        <w:p w:rsidR="00AB2F55" w:rsidRDefault="00BA6C6A">
          <w:pPr>
            <w:pStyle w:val="30"/>
            <w:tabs>
              <w:tab w:val="right" w:leader="dot" w:pos="8555"/>
            </w:tabs>
            <w:ind w:left="960" w:firstLine="480"/>
          </w:pPr>
          <w:hyperlink w:anchor="_Toc10888" w:history="1">
            <w:r>
              <w:rPr>
                <w:rFonts w:hint="eastAsia"/>
              </w:rPr>
              <w:t xml:space="preserve">2.3.6 </w:t>
            </w:r>
            <w:r>
              <w:t>风险评估</w:t>
            </w:r>
            <w:r>
              <w:tab/>
            </w:r>
            <w:r>
              <w:fldChar w:fldCharType="begin"/>
            </w:r>
            <w:r>
              <w:instrText xml:space="preserve"> PAGEREF _Toc10888 \h </w:instrText>
            </w:r>
            <w:r>
              <w:fldChar w:fldCharType="separate"/>
            </w:r>
            <w:r>
              <w:t>8</w:t>
            </w:r>
            <w:r>
              <w:fldChar w:fldCharType="end"/>
            </w:r>
          </w:hyperlink>
        </w:p>
        <w:p w:rsidR="00AB2F55" w:rsidRDefault="00BA6C6A">
          <w:pPr>
            <w:pStyle w:val="30"/>
            <w:tabs>
              <w:tab w:val="right" w:leader="dot" w:pos="8555"/>
            </w:tabs>
            <w:ind w:left="960" w:firstLine="480"/>
          </w:pPr>
          <w:hyperlink w:anchor="_Toc19195" w:history="1">
            <w:r>
              <w:rPr>
                <w:rFonts w:hint="eastAsia"/>
              </w:rPr>
              <w:t xml:space="preserve">2.3.7 </w:t>
            </w:r>
            <w:r>
              <w:t>风险管控</w:t>
            </w:r>
            <w:r>
              <w:rPr>
                <w:rFonts w:hint="eastAsia"/>
              </w:rPr>
              <w:t>和修复</w:t>
            </w:r>
            <w:r>
              <w:tab/>
            </w:r>
            <w:r>
              <w:fldChar w:fldCharType="begin"/>
            </w:r>
            <w:r>
              <w:instrText xml:space="preserve"> PAGEREF _Toc19195 \h </w:instrText>
            </w:r>
            <w:r>
              <w:fldChar w:fldCharType="separate"/>
            </w:r>
            <w:r>
              <w:t>8</w:t>
            </w:r>
            <w:r>
              <w:fldChar w:fldCharType="end"/>
            </w:r>
          </w:hyperlink>
        </w:p>
        <w:p w:rsidR="00AB2F55" w:rsidRDefault="00BA6C6A">
          <w:pPr>
            <w:pStyle w:val="30"/>
            <w:tabs>
              <w:tab w:val="right" w:leader="dot" w:pos="8555"/>
            </w:tabs>
            <w:ind w:left="960" w:firstLine="480"/>
          </w:pPr>
          <w:hyperlink w:anchor="_Toc23103" w:history="1">
            <w:r>
              <w:rPr>
                <w:rFonts w:hint="eastAsia"/>
              </w:rPr>
              <w:t xml:space="preserve">2.3.8 </w:t>
            </w:r>
            <w:r>
              <w:rPr>
                <w:rFonts w:hint="eastAsia"/>
              </w:rPr>
              <w:t>长期监测与综合管理</w:t>
            </w:r>
            <w:r>
              <w:tab/>
            </w:r>
            <w:r>
              <w:fldChar w:fldCharType="begin"/>
            </w:r>
            <w:r>
              <w:instrText xml:space="preserve"> PAGEREF _Toc23103 \h </w:instrText>
            </w:r>
            <w:r>
              <w:fldChar w:fldCharType="separate"/>
            </w:r>
            <w:r>
              <w:t>8</w:t>
            </w:r>
            <w:r>
              <w:fldChar w:fldCharType="end"/>
            </w:r>
          </w:hyperlink>
        </w:p>
        <w:p w:rsidR="00AB2F55" w:rsidRDefault="00BA6C6A">
          <w:pPr>
            <w:pStyle w:val="30"/>
            <w:tabs>
              <w:tab w:val="right" w:leader="dot" w:pos="8555"/>
            </w:tabs>
            <w:ind w:left="960" w:firstLine="480"/>
          </w:pPr>
          <w:hyperlink w:anchor="_Toc21832" w:history="1">
            <w:r>
              <w:rPr>
                <w:rFonts w:hint="eastAsia"/>
              </w:rPr>
              <w:t xml:space="preserve">2.3.9 </w:t>
            </w:r>
            <w:r>
              <w:rPr>
                <w:rFonts w:hint="eastAsia"/>
              </w:rPr>
              <w:t>矿区环境风险管控验收</w:t>
            </w:r>
            <w:r>
              <w:tab/>
            </w:r>
            <w:r>
              <w:fldChar w:fldCharType="begin"/>
            </w:r>
            <w:r>
              <w:instrText xml:space="preserve"> PAGEREF _Toc21832 \h </w:instrText>
            </w:r>
            <w:r>
              <w:fldChar w:fldCharType="separate"/>
            </w:r>
            <w:r>
              <w:t>9</w:t>
            </w:r>
            <w:r>
              <w:fldChar w:fldCharType="end"/>
            </w:r>
          </w:hyperlink>
        </w:p>
        <w:p w:rsidR="00AB2F55" w:rsidRDefault="00BA6C6A">
          <w:pPr>
            <w:pStyle w:val="20"/>
            <w:tabs>
              <w:tab w:val="right" w:leader="dot" w:pos="8555"/>
            </w:tabs>
            <w:ind w:left="480" w:firstLine="480"/>
          </w:pPr>
          <w:hyperlink w:anchor="_Toc14754" w:history="1">
            <w:r>
              <w:rPr>
                <w:rFonts w:hint="eastAsia"/>
              </w:rPr>
              <w:t xml:space="preserve">2.4 </w:t>
            </w:r>
            <w:r>
              <w:rPr>
                <w:rFonts w:hint="eastAsia"/>
              </w:rPr>
              <w:t>解决的主要问题</w:t>
            </w:r>
            <w:r>
              <w:tab/>
            </w:r>
            <w:r>
              <w:fldChar w:fldCharType="begin"/>
            </w:r>
            <w:r>
              <w:instrText xml:space="preserve"> PAGEREF _Toc14754 \h </w:instrText>
            </w:r>
            <w:r>
              <w:fldChar w:fldCharType="separate"/>
            </w:r>
            <w:r>
              <w:t>9</w:t>
            </w:r>
            <w:r>
              <w:fldChar w:fldCharType="end"/>
            </w:r>
          </w:hyperlink>
        </w:p>
        <w:p w:rsidR="00AB2F55" w:rsidRDefault="00BA6C6A">
          <w:pPr>
            <w:pStyle w:val="10"/>
            <w:tabs>
              <w:tab w:val="right" w:leader="dot" w:pos="8555"/>
            </w:tabs>
            <w:ind w:firstLine="480"/>
          </w:pPr>
          <w:hyperlink w:anchor="_Toc23649" w:history="1">
            <w:r>
              <w:rPr>
                <w:rFonts w:hint="eastAsia"/>
              </w:rPr>
              <w:t xml:space="preserve">3 </w:t>
            </w:r>
            <w:r>
              <w:rPr>
                <w:rFonts w:hint="eastAsia"/>
              </w:rPr>
              <w:t>我国有关现行法律、法规和其他强制性标准的关系</w:t>
            </w:r>
            <w:r>
              <w:tab/>
            </w:r>
            <w:r>
              <w:fldChar w:fldCharType="begin"/>
            </w:r>
            <w:r>
              <w:instrText xml:space="preserve"> PAGEREF _Toc23</w:instrText>
            </w:r>
            <w:r>
              <w:instrText xml:space="preserve">649 \h </w:instrText>
            </w:r>
            <w:r>
              <w:fldChar w:fldCharType="separate"/>
            </w:r>
            <w:r>
              <w:t>9</w:t>
            </w:r>
            <w:r>
              <w:fldChar w:fldCharType="end"/>
            </w:r>
          </w:hyperlink>
        </w:p>
        <w:p w:rsidR="00AB2F55" w:rsidRDefault="00BA6C6A">
          <w:pPr>
            <w:pStyle w:val="20"/>
            <w:tabs>
              <w:tab w:val="right" w:leader="dot" w:pos="8555"/>
            </w:tabs>
            <w:ind w:left="480" w:firstLine="480"/>
          </w:pPr>
          <w:hyperlink w:anchor="_Toc21548" w:history="1">
            <w:r>
              <w:rPr>
                <w:rFonts w:hint="eastAsia"/>
              </w:rPr>
              <w:t xml:space="preserve">3.1 </w:t>
            </w:r>
            <w:r>
              <w:t>国家标准的基本要求相一致</w:t>
            </w:r>
            <w:r>
              <w:tab/>
            </w:r>
            <w:r>
              <w:fldChar w:fldCharType="begin"/>
            </w:r>
            <w:r>
              <w:instrText xml:space="preserve"> PAGEREF _Toc21548 \h </w:instrText>
            </w:r>
            <w:r>
              <w:fldChar w:fldCharType="separate"/>
            </w:r>
            <w:r>
              <w:t>9</w:t>
            </w:r>
            <w:r>
              <w:fldChar w:fldCharType="end"/>
            </w:r>
          </w:hyperlink>
        </w:p>
        <w:p w:rsidR="00AB2F55" w:rsidRDefault="00BA6C6A">
          <w:pPr>
            <w:pStyle w:val="20"/>
            <w:tabs>
              <w:tab w:val="right" w:leader="dot" w:pos="8555"/>
            </w:tabs>
            <w:ind w:left="480" w:firstLine="480"/>
          </w:pPr>
          <w:hyperlink w:anchor="_Toc7777" w:history="1">
            <w:r>
              <w:rPr>
                <w:rFonts w:hint="eastAsia"/>
              </w:rPr>
              <w:t xml:space="preserve">3.2 </w:t>
            </w:r>
            <w:r>
              <w:t>是对现有的标准规范的补充和细化</w:t>
            </w:r>
            <w:r>
              <w:tab/>
            </w:r>
            <w:r>
              <w:fldChar w:fldCharType="begin"/>
            </w:r>
            <w:r>
              <w:instrText xml:space="preserve"> PAGEREF _Toc7777 \h </w:instrText>
            </w:r>
            <w:r>
              <w:fldChar w:fldCharType="separate"/>
            </w:r>
            <w:r>
              <w:t>10</w:t>
            </w:r>
            <w:r>
              <w:fldChar w:fldCharType="end"/>
            </w:r>
          </w:hyperlink>
        </w:p>
        <w:p w:rsidR="00AB2F55" w:rsidRDefault="00BA6C6A">
          <w:pPr>
            <w:pStyle w:val="10"/>
            <w:tabs>
              <w:tab w:val="right" w:leader="dot" w:pos="8555"/>
            </w:tabs>
            <w:ind w:firstLine="480"/>
          </w:pPr>
          <w:hyperlink w:anchor="_Toc30193" w:history="1">
            <w:r>
              <w:rPr>
                <w:rFonts w:hint="eastAsia"/>
              </w:rPr>
              <w:t xml:space="preserve">4 </w:t>
            </w:r>
            <w:r>
              <w:rPr>
                <w:rFonts w:hint="eastAsia"/>
              </w:rPr>
              <w:t>重大意见和分歧的处理结果依据</w:t>
            </w:r>
            <w:r>
              <w:tab/>
            </w:r>
            <w:r>
              <w:fldChar w:fldCharType="begin"/>
            </w:r>
            <w:r>
              <w:instrText xml:space="preserve"> PAGEREF _Toc30193</w:instrText>
            </w:r>
            <w:r>
              <w:instrText xml:space="preserve"> \h </w:instrText>
            </w:r>
            <w:r>
              <w:fldChar w:fldCharType="separate"/>
            </w:r>
            <w:r>
              <w:t>10</w:t>
            </w:r>
            <w:r>
              <w:fldChar w:fldCharType="end"/>
            </w:r>
          </w:hyperlink>
        </w:p>
        <w:p w:rsidR="00AB2F55" w:rsidRDefault="00BA6C6A">
          <w:pPr>
            <w:pStyle w:val="10"/>
            <w:tabs>
              <w:tab w:val="right" w:leader="dot" w:pos="8555"/>
            </w:tabs>
            <w:ind w:firstLine="480"/>
          </w:pPr>
          <w:hyperlink w:anchor="_Toc11239" w:history="1">
            <w:r>
              <w:rPr>
                <w:rFonts w:hint="eastAsia"/>
              </w:rPr>
              <w:t xml:space="preserve">5 </w:t>
            </w:r>
            <w:r>
              <w:rPr>
                <w:rFonts w:hint="eastAsia"/>
              </w:rPr>
              <w:t>预期经济效果</w:t>
            </w:r>
            <w:r>
              <w:tab/>
            </w:r>
            <w:r>
              <w:fldChar w:fldCharType="begin"/>
            </w:r>
            <w:r>
              <w:instrText xml:space="preserve"> PAGEREF _Toc11239 \h </w:instrText>
            </w:r>
            <w:r>
              <w:fldChar w:fldCharType="separate"/>
            </w:r>
            <w:r>
              <w:t>10</w:t>
            </w:r>
            <w:r>
              <w:fldChar w:fldCharType="end"/>
            </w:r>
          </w:hyperlink>
        </w:p>
        <w:p w:rsidR="00AB2F55" w:rsidRDefault="00BA6C6A">
          <w:pPr>
            <w:pStyle w:val="20"/>
            <w:tabs>
              <w:tab w:val="right" w:leader="dot" w:pos="8555"/>
            </w:tabs>
            <w:ind w:left="480" w:firstLine="480"/>
          </w:pPr>
          <w:hyperlink w:anchor="_Toc30339" w:history="1">
            <w:r>
              <w:rPr>
                <w:rFonts w:hint="eastAsia"/>
              </w:rPr>
              <w:t xml:space="preserve">5.1 </w:t>
            </w:r>
            <w:r>
              <w:rPr>
                <w:rFonts w:hint="eastAsia"/>
              </w:rPr>
              <w:t>本标准实施成本分析</w:t>
            </w:r>
            <w:r>
              <w:tab/>
            </w:r>
            <w:r>
              <w:fldChar w:fldCharType="begin"/>
            </w:r>
            <w:r>
              <w:instrText xml:space="preserve"> PAGEREF _Toc30339 \</w:instrText>
            </w:r>
            <w:r>
              <w:instrText xml:space="preserve">h </w:instrText>
            </w:r>
            <w:r>
              <w:fldChar w:fldCharType="separate"/>
            </w:r>
            <w:r>
              <w:t>10</w:t>
            </w:r>
            <w:r>
              <w:fldChar w:fldCharType="end"/>
            </w:r>
          </w:hyperlink>
        </w:p>
        <w:p w:rsidR="00AB2F55" w:rsidRDefault="00BA6C6A">
          <w:pPr>
            <w:pStyle w:val="20"/>
            <w:tabs>
              <w:tab w:val="right" w:leader="dot" w:pos="8555"/>
            </w:tabs>
            <w:ind w:left="480" w:firstLine="480"/>
          </w:pPr>
          <w:hyperlink w:anchor="_Toc10725" w:history="1">
            <w:r>
              <w:rPr>
                <w:rFonts w:hint="eastAsia"/>
              </w:rPr>
              <w:t xml:space="preserve">5.2 </w:t>
            </w:r>
            <w:r>
              <w:rPr>
                <w:rFonts w:hint="eastAsia"/>
              </w:rPr>
              <w:t>实施效益分析</w:t>
            </w:r>
            <w:r>
              <w:tab/>
            </w:r>
            <w:r>
              <w:fldChar w:fldCharType="begin"/>
            </w:r>
            <w:r>
              <w:instrText xml:space="preserve"> PAGEREF _Toc10725 \h </w:instrText>
            </w:r>
            <w:r>
              <w:fldChar w:fldCharType="separate"/>
            </w:r>
            <w:r>
              <w:t>10</w:t>
            </w:r>
            <w:r>
              <w:fldChar w:fldCharType="end"/>
            </w:r>
          </w:hyperlink>
        </w:p>
        <w:p w:rsidR="00AB2F55" w:rsidRDefault="00BA6C6A">
          <w:pPr>
            <w:pStyle w:val="10"/>
            <w:tabs>
              <w:tab w:val="right" w:leader="dot" w:pos="8555"/>
            </w:tabs>
            <w:ind w:firstLine="480"/>
          </w:pPr>
          <w:hyperlink w:anchor="_Toc3088" w:history="1">
            <w:r>
              <w:rPr>
                <w:rFonts w:hint="eastAsia"/>
              </w:rPr>
              <w:t xml:space="preserve">6 </w:t>
            </w:r>
            <w:r>
              <w:rPr>
                <w:rFonts w:hint="eastAsia"/>
              </w:rPr>
              <w:t>本标准实施的相关建议</w:t>
            </w:r>
            <w:r>
              <w:tab/>
            </w:r>
            <w:r>
              <w:fldChar w:fldCharType="begin"/>
            </w:r>
            <w:r>
              <w:instrText xml:space="preserve"> PAGEREF _Toc3088 \h </w:instrText>
            </w:r>
            <w:r>
              <w:fldChar w:fldCharType="separate"/>
            </w:r>
            <w:r>
              <w:t>1</w:t>
            </w:r>
            <w:r>
              <w:t>1</w:t>
            </w:r>
            <w:r>
              <w:fldChar w:fldCharType="end"/>
            </w:r>
          </w:hyperlink>
        </w:p>
        <w:p w:rsidR="00AB2F55" w:rsidRDefault="00BA6C6A">
          <w:pPr>
            <w:pStyle w:val="20"/>
            <w:tabs>
              <w:tab w:val="right" w:leader="dot" w:pos="8555"/>
            </w:tabs>
            <w:ind w:left="480" w:firstLine="480"/>
          </w:pPr>
          <w:hyperlink w:anchor="_Toc3787" w:history="1">
            <w:r>
              <w:rPr>
                <w:rFonts w:hint="eastAsia"/>
              </w:rPr>
              <w:t xml:space="preserve">6.1 </w:t>
            </w:r>
            <w:r>
              <w:rPr>
                <w:rFonts w:hint="eastAsia"/>
              </w:rPr>
              <w:t>标准执行</w:t>
            </w:r>
            <w:r>
              <w:tab/>
            </w:r>
            <w:r>
              <w:fldChar w:fldCharType="begin"/>
            </w:r>
            <w:r>
              <w:instrText xml:space="preserve"> PAGEREF _Toc3787 \h </w:instrText>
            </w:r>
            <w:r>
              <w:fldChar w:fldCharType="separate"/>
            </w:r>
            <w:r>
              <w:t>11</w:t>
            </w:r>
            <w:r>
              <w:fldChar w:fldCharType="end"/>
            </w:r>
          </w:hyperlink>
        </w:p>
        <w:p w:rsidR="00AB2F55" w:rsidRDefault="00BA6C6A">
          <w:pPr>
            <w:pStyle w:val="20"/>
            <w:tabs>
              <w:tab w:val="right" w:leader="dot" w:pos="8555"/>
            </w:tabs>
            <w:ind w:left="480" w:firstLine="480"/>
          </w:pPr>
          <w:hyperlink w:anchor="_Toc28761" w:history="1">
            <w:r>
              <w:rPr>
                <w:rFonts w:hint="eastAsia"/>
              </w:rPr>
              <w:t xml:space="preserve">6.2 </w:t>
            </w:r>
            <w:r>
              <w:rPr>
                <w:rFonts w:hint="eastAsia"/>
              </w:rPr>
              <w:t>标准完善</w:t>
            </w:r>
            <w:r>
              <w:tab/>
            </w:r>
            <w:r>
              <w:fldChar w:fldCharType="begin"/>
            </w:r>
            <w:r>
              <w:instrText xml:space="preserve"> PAGEREF _Toc28761 \h </w:instrText>
            </w:r>
            <w:r>
              <w:fldChar w:fldCharType="separate"/>
            </w:r>
            <w:r>
              <w:t>11</w:t>
            </w:r>
            <w:r>
              <w:fldChar w:fldCharType="end"/>
            </w:r>
          </w:hyperlink>
        </w:p>
        <w:p w:rsidR="00AB2F55" w:rsidRDefault="00BA6C6A">
          <w:pPr>
            <w:pStyle w:val="20"/>
            <w:tabs>
              <w:tab w:val="right" w:leader="dot" w:pos="8555"/>
            </w:tabs>
            <w:ind w:left="480" w:firstLine="480"/>
          </w:pPr>
          <w:hyperlink w:anchor="_Toc7709" w:history="1">
            <w:r>
              <w:rPr>
                <w:rFonts w:hint="eastAsia"/>
              </w:rPr>
              <w:t xml:space="preserve">6.3 </w:t>
            </w:r>
            <w:r>
              <w:rPr>
                <w:rFonts w:hint="eastAsia"/>
              </w:rPr>
              <w:t>其他建议</w:t>
            </w:r>
            <w:r>
              <w:tab/>
            </w:r>
            <w:r>
              <w:fldChar w:fldCharType="begin"/>
            </w:r>
            <w:r>
              <w:instrText xml:space="preserve"> PAGEREF _Toc7709 \h </w:instrText>
            </w:r>
            <w:r>
              <w:fldChar w:fldCharType="separate"/>
            </w:r>
            <w:r>
              <w:t>11</w:t>
            </w:r>
            <w:r>
              <w:fldChar w:fldCharType="end"/>
            </w:r>
          </w:hyperlink>
        </w:p>
        <w:p w:rsidR="00AB2F55" w:rsidRDefault="00BA6C6A">
          <w:pPr>
            <w:pStyle w:val="Style1"/>
            <w:ind w:right="19" w:firstLine="0"/>
          </w:pPr>
          <w:r>
            <w:fldChar w:fldCharType="end"/>
          </w:r>
        </w:p>
      </w:sdtContent>
    </w:sdt>
    <w:p w:rsidR="00AB2F55" w:rsidRDefault="00AB2F55">
      <w:pPr>
        <w:ind w:firstLine="480"/>
      </w:pPr>
    </w:p>
    <w:p w:rsidR="00AB2F55" w:rsidRDefault="00AB2F55">
      <w:pPr>
        <w:ind w:firstLine="480"/>
        <w:sectPr w:rsidR="00AB2F55">
          <w:footerReference w:type="default" r:id="rId8"/>
          <w:pgSz w:w="11911" w:h="16838"/>
          <w:pgMar w:top="1440" w:right="1678" w:bottom="1440" w:left="1678" w:header="879" w:footer="0" w:gutter="0"/>
          <w:pgNumType w:fmt="upperRoman" w:start="1"/>
          <w:cols w:space="0"/>
          <w:docGrid w:linePitch="312"/>
        </w:sectPr>
      </w:pPr>
    </w:p>
    <w:p w:rsidR="00AB2F55" w:rsidRDefault="00BA6C6A">
      <w:pPr>
        <w:pStyle w:val="1"/>
        <w:ind w:firstLine="602"/>
        <w:rPr>
          <w:rFonts w:ascii="Arial"/>
          <w:sz w:val="21"/>
        </w:rPr>
      </w:pPr>
      <w:bookmarkStart w:id="1" w:name="_Toc22855"/>
      <w:bookmarkStart w:id="2" w:name="_Toc30786"/>
      <w:bookmarkStart w:id="3" w:name="_Toc28032"/>
      <w:r>
        <w:rPr>
          <w:rFonts w:hint="eastAsia"/>
        </w:rPr>
        <w:t xml:space="preserve">1 </w:t>
      </w:r>
      <w:r>
        <w:t>工作简况</w:t>
      </w:r>
      <w:bookmarkEnd w:id="1"/>
      <w:bookmarkEnd w:id="2"/>
      <w:bookmarkEnd w:id="3"/>
    </w:p>
    <w:p w:rsidR="00AB2F55" w:rsidRDefault="00BA6C6A">
      <w:pPr>
        <w:pStyle w:val="2"/>
        <w:ind w:firstLine="562"/>
      </w:pPr>
      <w:bookmarkStart w:id="4" w:name="_bookmark2"/>
      <w:bookmarkStart w:id="5" w:name="_Toc30897"/>
      <w:bookmarkStart w:id="6" w:name="_Toc9984"/>
      <w:bookmarkStart w:id="7" w:name="_Toc2410"/>
      <w:bookmarkEnd w:id="4"/>
      <w:r>
        <w:t xml:space="preserve">1.1 </w:t>
      </w:r>
      <w:r>
        <w:t>任务来源</w:t>
      </w:r>
      <w:r>
        <w:rPr>
          <w:rFonts w:hint="eastAsia"/>
        </w:rPr>
        <w:t>及编制依据</w:t>
      </w:r>
      <w:bookmarkEnd w:id="5"/>
      <w:bookmarkEnd w:id="6"/>
      <w:bookmarkEnd w:id="7"/>
    </w:p>
    <w:p w:rsidR="00AB2F55" w:rsidRDefault="00BA6C6A">
      <w:pPr>
        <w:pStyle w:val="3"/>
        <w:ind w:firstLine="482"/>
        <w:rPr>
          <w:rFonts w:eastAsia="宋体" w:cs="Times New Roman"/>
          <w:spacing w:val="7"/>
          <w:szCs w:val="24"/>
        </w:rPr>
      </w:pPr>
      <w:bookmarkStart w:id="8" w:name="_Toc31471"/>
      <w:bookmarkStart w:id="9" w:name="_Toc16812"/>
      <w:r>
        <w:rPr>
          <w:rFonts w:hint="eastAsia"/>
        </w:rPr>
        <w:t xml:space="preserve">1.1.1 </w:t>
      </w:r>
      <w:r>
        <w:rPr>
          <w:rFonts w:hint="eastAsia"/>
        </w:rPr>
        <w:t>任务来源</w:t>
      </w:r>
      <w:bookmarkEnd w:id="8"/>
      <w:bookmarkEnd w:id="9"/>
    </w:p>
    <w:p w:rsidR="00AB2F55" w:rsidRDefault="00BA6C6A">
      <w:pPr>
        <w:spacing w:before="75" w:line="380" w:lineRule="auto"/>
        <w:ind w:left="24" w:right="80" w:firstLine="508"/>
        <w:rPr>
          <w:rFonts w:cs="Times New Roman"/>
          <w:spacing w:val="9"/>
          <w:szCs w:val="24"/>
        </w:rPr>
      </w:pPr>
      <w:r>
        <w:rPr>
          <w:rFonts w:cs="Times New Roman"/>
          <w:spacing w:val="7"/>
          <w:szCs w:val="24"/>
        </w:rPr>
        <w:t>本标准</w:t>
      </w:r>
      <w:r>
        <w:rPr>
          <w:rFonts w:cs="Times New Roman" w:hint="eastAsia"/>
          <w:spacing w:val="7"/>
          <w:szCs w:val="24"/>
        </w:rPr>
        <w:t>以国家重点研发计划“场地土壤污染成因与治理技术”重点专项项目“西南金属采选场地及周边土壤污染防控与治理技术研发与集成示范”（</w:t>
      </w:r>
      <w:r>
        <w:rPr>
          <w:rFonts w:cs="Times New Roman" w:hint="eastAsia"/>
          <w:spacing w:val="7"/>
          <w:szCs w:val="24"/>
        </w:rPr>
        <w:t>2018YFC1802600</w:t>
      </w:r>
      <w:r>
        <w:rPr>
          <w:rFonts w:cs="Times New Roman" w:hint="eastAsia"/>
          <w:spacing w:val="7"/>
          <w:szCs w:val="24"/>
        </w:rPr>
        <w:t>），课题“</w:t>
      </w:r>
      <w:r>
        <w:rPr>
          <w:rFonts w:cs="Times New Roman"/>
          <w:spacing w:val="7"/>
          <w:szCs w:val="24"/>
        </w:rPr>
        <w:t>岩溶山地金属采选场地及周</w:t>
      </w:r>
      <w:r>
        <w:rPr>
          <w:rFonts w:cs="Times New Roman"/>
          <w:spacing w:val="5"/>
          <w:szCs w:val="24"/>
        </w:rPr>
        <w:t>边</w:t>
      </w:r>
      <w:r>
        <w:rPr>
          <w:rFonts w:cs="Times New Roman"/>
          <w:spacing w:val="18"/>
          <w:szCs w:val="24"/>
        </w:rPr>
        <w:t>土</w:t>
      </w:r>
      <w:r>
        <w:rPr>
          <w:rFonts w:cs="Times New Roman"/>
          <w:spacing w:val="11"/>
          <w:szCs w:val="24"/>
        </w:rPr>
        <w:t>壤</w:t>
      </w:r>
      <w:r>
        <w:rPr>
          <w:rFonts w:cs="Times New Roman"/>
          <w:spacing w:val="9"/>
          <w:szCs w:val="24"/>
        </w:rPr>
        <w:t>污染防治技术研发与模式构建</w:t>
      </w:r>
      <w:r>
        <w:rPr>
          <w:rFonts w:cs="Times New Roman" w:hint="eastAsia"/>
          <w:spacing w:val="9"/>
          <w:szCs w:val="24"/>
        </w:rPr>
        <w:t>”（</w:t>
      </w:r>
      <w:r>
        <w:rPr>
          <w:rFonts w:eastAsia="Times New Roman" w:cs="Times New Roman"/>
          <w:spacing w:val="9"/>
          <w:szCs w:val="24"/>
        </w:rPr>
        <w:t>2018</w:t>
      </w:r>
      <w:r>
        <w:rPr>
          <w:rFonts w:eastAsia="Times New Roman" w:cs="Times New Roman"/>
          <w:szCs w:val="24"/>
        </w:rPr>
        <w:t>YFC</w:t>
      </w:r>
      <w:r>
        <w:rPr>
          <w:rFonts w:eastAsia="Times New Roman" w:cs="Times New Roman"/>
          <w:spacing w:val="9"/>
          <w:szCs w:val="24"/>
        </w:rPr>
        <w:t>1802602</w:t>
      </w:r>
      <w:r>
        <w:rPr>
          <w:rFonts w:cs="Times New Roman" w:hint="eastAsia"/>
          <w:spacing w:val="9"/>
          <w:szCs w:val="24"/>
        </w:rPr>
        <w:t>）</w:t>
      </w:r>
      <w:r>
        <w:rPr>
          <w:rFonts w:cs="Times New Roman" w:hint="eastAsia"/>
          <w:spacing w:val="9"/>
          <w:szCs w:val="24"/>
        </w:rPr>
        <w:t>为依托，开展了</w:t>
      </w:r>
      <w:r>
        <w:rPr>
          <w:rFonts w:cs="Times New Roman"/>
          <w:spacing w:val="9"/>
          <w:szCs w:val="24"/>
        </w:rPr>
        <w:t>岩溶山地区金属矿区土壤污染风险管控与修复技术</w:t>
      </w:r>
      <w:r>
        <w:rPr>
          <w:rFonts w:cs="Times New Roman" w:hint="eastAsia"/>
          <w:spacing w:val="9"/>
          <w:szCs w:val="24"/>
        </w:rPr>
        <w:t>研究，依据环境调查、风险评价、风险管控和污染修复的工作程序</w:t>
      </w:r>
      <w:r>
        <w:rPr>
          <w:rFonts w:cs="Times New Roman"/>
          <w:spacing w:val="9"/>
          <w:szCs w:val="24"/>
        </w:rPr>
        <w:t>制定</w:t>
      </w:r>
      <w:r>
        <w:rPr>
          <w:rFonts w:cs="Times New Roman" w:hint="eastAsia"/>
          <w:spacing w:val="9"/>
          <w:szCs w:val="24"/>
        </w:rPr>
        <w:t>技术方案</w:t>
      </w:r>
      <w:r>
        <w:rPr>
          <w:rFonts w:cs="Times New Roman"/>
          <w:spacing w:val="9"/>
          <w:szCs w:val="24"/>
        </w:rPr>
        <w:t>，由贵州大学</w:t>
      </w:r>
      <w:r>
        <w:rPr>
          <w:rFonts w:cs="Times New Roman"/>
          <w:spacing w:val="9"/>
          <w:szCs w:val="24"/>
        </w:rPr>
        <w:t>、</w:t>
      </w:r>
      <w:r>
        <w:rPr>
          <w:rFonts w:cs="Times New Roman"/>
          <w:spacing w:val="9"/>
          <w:szCs w:val="24"/>
        </w:rPr>
        <w:t>中国节能中咨华瑞科技有限公司</w:t>
      </w:r>
      <w:r>
        <w:rPr>
          <w:rFonts w:cs="Times New Roman"/>
          <w:spacing w:val="9"/>
          <w:szCs w:val="24"/>
        </w:rPr>
        <w:t>和</w:t>
      </w:r>
      <w:r>
        <w:rPr>
          <w:rFonts w:cs="Times New Roman"/>
          <w:spacing w:val="9"/>
          <w:szCs w:val="24"/>
        </w:rPr>
        <w:t>中国科学院南京土壤研究所承担起草工作。</w:t>
      </w:r>
    </w:p>
    <w:p w:rsidR="00AB2F55" w:rsidRDefault="00BA6C6A">
      <w:pPr>
        <w:pStyle w:val="3"/>
        <w:spacing w:before="75" w:line="380" w:lineRule="auto"/>
        <w:ind w:left="24" w:right="80" w:firstLine="482"/>
        <w:rPr>
          <w:rFonts w:eastAsia="宋体" w:cs="Times New Roman"/>
          <w:spacing w:val="7"/>
          <w:szCs w:val="24"/>
        </w:rPr>
      </w:pPr>
      <w:bookmarkStart w:id="10" w:name="_Toc18393"/>
      <w:bookmarkStart w:id="11" w:name="_Toc3217"/>
      <w:r>
        <w:rPr>
          <w:rFonts w:hint="eastAsia"/>
        </w:rPr>
        <w:t xml:space="preserve">1.1.2 </w:t>
      </w:r>
      <w:r>
        <w:rPr>
          <w:rFonts w:hint="eastAsia"/>
        </w:rPr>
        <w:t>编制依据</w:t>
      </w:r>
      <w:bookmarkEnd w:id="10"/>
      <w:bookmarkEnd w:id="11"/>
    </w:p>
    <w:p w:rsidR="00AB2F55" w:rsidRDefault="00BA6C6A">
      <w:pPr>
        <w:spacing w:before="75" w:line="380" w:lineRule="auto"/>
        <w:ind w:left="24" w:right="80" w:firstLine="508"/>
        <w:rPr>
          <w:rFonts w:cs="Times New Roman"/>
          <w:spacing w:val="7"/>
          <w:szCs w:val="24"/>
        </w:rPr>
      </w:pPr>
      <w:r>
        <w:rPr>
          <w:rFonts w:cs="Times New Roman"/>
          <w:spacing w:val="7"/>
          <w:szCs w:val="24"/>
        </w:rPr>
        <w:t>2016</w:t>
      </w:r>
      <w:r>
        <w:rPr>
          <w:rFonts w:cs="Times New Roman"/>
          <w:spacing w:val="7"/>
          <w:szCs w:val="24"/>
        </w:rPr>
        <w:t>年</w:t>
      </w:r>
      <w:r>
        <w:rPr>
          <w:rFonts w:cs="Times New Roman"/>
          <w:spacing w:val="7"/>
          <w:szCs w:val="24"/>
        </w:rPr>
        <w:t>5</w:t>
      </w:r>
      <w:r>
        <w:rPr>
          <w:rFonts w:cs="Times New Roman"/>
          <w:spacing w:val="7"/>
          <w:szCs w:val="24"/>
        </w:rPr>
        <w:t>月</w:t>
      </w:r>
      <w:r>
        <w:rPr>
          <w:rFonts w:cs="Times New Roman"/>
          <w:spacing w:val="7"/>
          <w:szCs w:val="24"/>
        </w:rPr>
        <w:t>，</w:t>
      </w:r>
      <w:r>
        <w:rPr>
          <w:rFonts w:cs="Times New Roman"/>
          <w:spacing w:val="7"/>
          <w:szCs w:val="24"/>
        </w:rPr>
        <w:t>国务院印发《土壤污染</w:t>
      </w:r>
      <w:r>
        <w:rPr>
          <w:rFonts w:cs="Times New Roman" w:hint="eastAsia"/>
          <w:spacing w:val="7"/>
          <w:szCs w:val="24"/>
        </w:rPr>
        <w:t>防治</w:t>
      </w:r>
      <w:r>
        <w:rPr>
          <w:rFonts w:cs="Times New Roman"/>
          <w:spacing w:val="7"/>
          <w:szCs w:val="24"/>
        </w:rPr>
        <w:t>计划》，明确我国土壤污染防治的基本思路是</w:t>
      </w:r>
      <w:r>
        <w:rPr>
          <w:rFonts w:cs="Times New Roman" w:hint="eastAsia"/>
          <w:spacing w:val="7"/>
          <w:szCs w:val="24"/>
        </w:rPr>
        <w:t>“</w:t>
      </w:r>
      <w:r>
        <w:rPr>
          <w:rFonts w:cs="Times New Roman"/>
          <w:spacing w:val="7"/>
          <w:szCs w:val="24"/>
        </w:rPr>
        <w:t>坚持预防为主，保护优先，风险管控</w:t>
      </w:r>
      <w:r>
        <w:rPr>
          <w:rFonts w:cs="Times New Roman" w:hint="eastAsia"/>
          <w:spacing w:val="7"/>
          <w:szCs w:val="24"/>
        </w:rPr>
        <w:t>”</w:t>
      </w:r>
      <w:r>
        <w:rPr>
          <w:rFonts w:cs="Times New Roman"/>
          <w:spacing w:val="7"/>
          <w:szCs w:val="24"/>
        </w:rPr>
        <w:t>。</w:t>
      </w:r>
      <w:r>
        <w:rPr>
          <w:rFonts w:cs="Times New Roman"/>
          <w:spacing w:val="7"/>
          <w:szCs w:val="24"/>
        </w:rPr>
        <w:t>2016</w:t>
      </w:r>
      <w:r>
        <w:rPr>
          <w:rFonts w:cs="Times New Roman"/>
          <w:spacing w:val="7"/>
          <w:szCs w:val="24"/>
        </w:rPr>
        <w:t>年</w:t>
      </w:r>
      <w:r>
        <w:rPr>
          <w:rFonts w:cs="Times New Roman"/>
          <w:spacing w:val="7"/>
          <w:szCs w:val="24"/>
        </w:rPr>
        <w:t>12</w:t>
      </w:r>
      <w:r>
        <w:rPr>
          <w:rFonts w:cs="Times New Roman"/>
          <w:spacing w:val="7"/>
          <w:szCs w:val="24"/>
        </w:rPr>
        <w:t>月，原环保部颁布了《污染地块土壤管理办法（试行）》，明确风险管控应采取</w:t>
      </w:r>
      <w:r>
        <w:rPr>
          <w:rFonts w:cs="Times New Roman" w:hint="eastAsia"/>
          <w:spacing w:val="7"/>
          <w:szCs w:val="24"/>
        </w:rPr>
        <w:t>“</w:t>
      </w:r>
      <w:r>
        <w:rPr>
          <w:rFonts w:cs="Times New Roman"/>
          <w:spacing w:val="7"/>
          <w:szCs w:val="24"/>
        </w:rPr>
        <w:t>污染隔离、阻断等措施，</w:t>
      </w:r>
      <w:r>
        <w:rPr>
          <w:rFonts w:cs="Times New Roman" w:hint="eastAsia"/>
          <w:color w:val="auto"/>
          <w:spacing w:val="7"/>
          <w:szCs w:val="24"/>
        </w:rPr>
        <w:t>防止</w:t>
      </w:r>
      <w:r>
        <w:rPr>
          <w:rFonts w:cs="Times New Roman"/>
          <w:spacing w:val="7"/>
          <w:szCs w:val="24"/>
        </w:rPr>
        <w:t>污染扩散；同时开展土壤、地表水、地下水和空气质量监测</w:t>
      </w:r>
      <w:r>
        <w:rPr>
          <w:rFonts w:cs="Times New Roman" w:hint="eastAsia"/>
          <w:spacing w:val="7"/>
          <w:szCs w:val="24"/>
        </w:rPr>
        <w:t>”</w:t>
      </w:r>
      <w:r>
        <w:rPr>
          <w:rFonts w:cs="Times New Roman"/>
          <w:spacing w:val="7"/>
          <w:szCs w:val="24"/>
        </w:rPr>
        <w:t>。</w:t>
      </w:r>
      <w:r>
        <w:rPr>
          <w:rFonts w:cs="Times New Roman"/>
          <w:spacing w:val="7"/>
          <w:szCs w:val="24"/>
        </w:rPr>
        <w:t>2019</w:t>
      </w:r>
      <w:r>
        <w:rPr>
          <w:rFonts w:cs="Times New Roman"/>
          <w:spacing w:val="7"/>
          <w:szCs w:val="24"/>
        </w:rPr>
        <w:t>年</w:t>
      </w:r>
      <w:r>
        <w:rPr>
          <w:rFonts w:cs="Times New Roman"/>
          <w:spacing w:val="7"/>
          <w:szCs w:val="24"/>
        </w:rPr>
        <w:t>1</w:t>
      </w:r>
      <w:r>
        <w:rPr>
          <w:rFonts w:cs="Times New Roman"/>
          <w:spacing w:val="7"/>
          <w:szCs w:val="24"/>
        </w:rPr>
        <w:t>月，《中国人民共和国土壤污染防治法》正式施行，明确</w:t>
      </w:r>
      <w:r>
        <w:rPr>
          <w:rFonts w:cs="Times New Roman" w:hint="eastAsia"/>
          <w:spacing w:val="7"/>
          <w:szCs w:val="24"/>
        </w:rPr>
        <w:t>“</w:t>
      </w:r>
      <w:r>
        <w:rPr>
          <w:rFonts w:cs="Times New Roman"/>
          <w:spacing w:val="7"/>
          <w:szCs w:val="24"/>
        </w:rPr>
        <w:t>土壤污染防治应当坚持预防为主、保护优先、分类管理、风险管控、污染担责、公</w:t>
      </w:r>
      <w:r>
        <w:rPr>
          <w:rFonts w:cs="Times New Roman" w:hint="eastAsia"/>
          <w:spacing w:val="7"/>
          <w:szCs w:val="24"/>
        </w:rPr>
        <w:t>众</w:t>
      </w:r>
      <w:r>
        <w:rPr>
          <w:rFonts w:cs="Times New Roman"/>
          <w:spacing w:val="7"/>
          <w:szCs w:val="24"/>
        </w:rPr>
        <w:t>参与</w:t>
      </w:r>
      <w:r>
        <w:rPr>
          <w:rFonts w:cs="Times New Roman" w:hint="eastAsia"/>
          <w:spacing w:val="7"/>
          <w:szCs w:val="24"/>
        </w:rPr>
        <w:t>”</w:t>
      </w:r>
      <w:r>
        <w:rPr>
          <w:rFonts w:cs="Times New Roman"/>
          <w:spacing w:val="7"/>
          <w:szCs w:val="24"/>
        </w:rPr>
        <w:t>的原则。</w:t>
      </w:r>
    </w:p>
    <w:p w:rsidR="00AB2F55" w:rsidRDefault="00BA6C6A">
      <w:pPr>
        <w:spacing w:before="75" w:line="380" w:lineRule="auto"/>
        <w:ind w:left="24" w:right="80" w:firstLine="508"/>
        <w:rPr>
          <w:rFonts w:cs="Times New Roman"/>
          <w:spacing w:val="7"/>
          <w:szCs w:val="24"/>
        </w:rPr>
      </w:pPr>
      <w:r>
        <w:rPr>
          <w:rFonts w:cs="Times New Roman" w:hint="eastAsia"/>
          <w:spacing w:val="7"/>
          <w:szCs w:val="24"/>
        </w:rPr>
        <w:t>以</w:t>
      </w:r>
      <w:r>
        <w:rPr>
          <w:rFonts w:cs="Times New Roman"/>
          <w:spacing w:val="7"/>
          <w:szCs w:val="24"/>
        </w:rPr>
        <w:t>贵州为中心的西南喀斯特地区是全球最大的连片喀斯特地貌区域，是以碳酸盐岩为地质背景的典型</w:t>
      </w:r>
      <w:r>
        <w:rPr>
          <w:rFonts w:cs="Times New Roman"/>
          <w:spacing w:val="7"/>
          <w:szCs w:val="24"/>
        </w:rPr>
        <w:t>山地，区域生态环境脆弱、环境地质问题突出。</w:t>
      </w:r>
      <w:r>
        <w:rPr>
          <w:rFonts w:cs="Times New Roman" w:hint="eastAsia"/>
          <w:spacing w:val="7"/>
          <w:szCs w:val="24"/>
        </w:rPr>
        <w:t>喀斯特山地区</w:t>
      </w:r>
      <w:r>
        <w:rPr>
          <w:rFonts w:cs="Times New Roman"/>
          <w:spacing w:val="7"/>
          <w:szCs w:val="24"/>
        </w:rPr>
        <w:t>矿产资源丰富，</w:t>
      </w:r>
      <w:r>
        <w:rPr>
          <w:rFonts w:cs="Times New Roman" w:hint="eastAsia"/>
          <w:spacing w:val="7"/>
          <w:szCs w:val="24"/>
        </w:rPr>
        <w:t>其中</w:t>
      </w:r>
      <w:r>
        <w:rPr>
          <w:rFonts w:cs="Times New Roman"/>
          <w:spacing w:val="7"/>
          <w:szCs w:val="24"/>
        </w:rPr>
        <w:t>中</w:t>
      </w:r>
      <w:r>
        <w:rPr>
          <w:rFonts w:cs="Times New Roman" w:hint="eastAsia"/>
          <w:spacing w:val="7"/>
          <w:szCs w:val="24"/>
        </w:rPr>
        <w:t>、</w:t>
      </w:r>
      <w:r>
        <w:rPr>
          <w:rFonts w:cs="Times New Roman"/>
          <w:spacing w:val="7"/>
          <w:szCs w:val="24"/>
        </w:rPr>
        <w:t>低温热液汞、砷、锑、铊、铅、锌等的层控矿床</w:t>
      </w:r>
      <w:r>
        <w:rPr>
          <w:rFonts w:cs="Times New Roman" w:hint="eastAsia"/>
          <w:spacing w:val="7"/>
          <w:szCs w:val="24"/>
        </w:rPr>
        <w:t>广泛发育</w:t>
      </w:r>
      <w:r>
        <w:rPr>
          <w:rFonts w:cs="Times New Roman"/>
          <w:spacing w:val="7"/>
          <w:szCs w:val="24"/>
        </w:rPr>
        <w:t>，随着矿业活动的加快，</w:t>
      </w:r>
      <w:r>
        <w:rPr>
          <w:rFonts w:cs="Times New Roman" w:hint="eastAsia"/>
          <w:spacing w:val="7"/>
          <w:szCs w:val="24"/>
        </w:rPr>
        <w:t>金属</w:t>
      </w:r>
      <w:r>
        <w:rPr>
          <w:rFonts w:cs="Times New Roman"/>
          <w:spacing w:val="7"/>
          <w:szCs w:val="24"/>
        </w:rPr>
        <w:t>矿山环境问题严重</w:t>
      </w:r>
      <w:r>
        <w:rPr>
          <w:rFonts w:cs="Times New Roman" w:hint="eastAsia"/>
          <w:spacing w:val="7"/>
          <w:szCs w:val="24"/>
        </w:rPr>
        <w:t>。矿山环境问题主要包括</w:t>
      </w:r>
      <w:r>
        <w:rPr>
          <w:rFonts w:cs="Times New Roman"/>
          <w:spacing w:val="7"/>
          <w:szCs w:val="24"/>
        </w:rPr>
        <w:t>矿山废水</w:t>
      </w:r>
      <w:r>
        <w:rPr>
          <w:rFonts w:cs="Times New Roman" w:hint="eastAsia"/>
          <w:spacing w:val="7"/>
          <w:szCs w:val="24"/>
        </w:rPr>
        <w:t>和</w:t>
      </w:r>
      <w:r>
        <w:rPr>
          <w:rFonts w:cs="Times New Roman"/>
          <w:spacing w:val="7"/>
          <w:szCs w:val="24"/>
        </w:rPr>
        <w:t>废渣排放，采矿场、排渣场、尾矿库占用和破坏土地</w:t>
      </w:r>
      <w:r>
        <w:rPr>
          <w:rFonts w:cs="Times New Roman" w:hint="eastAsia"/>
          <w:spacing w:val="7"/>
          <w:szCs w:val="24"/>
        </w:rPr>
        <w:t>资源</w:t>
      </w:r>
      <w:r>
        <w:rPr>
          <w:rFonts w:cs="Times New Roman"/>
          <w:spacing w:val="7"/>
          <w:szCs w:val="24"/>
        </w:rPr>
        <w:t>，其中</w:t>
      </w:r>
      <w:r>
        <w:rPr>
          <w:rFonts w:cs="Times New Roman" w:hint="eastAsia"/>
          <w:spacing w:val="7"/>
          <w:szCs w:val="24"/>
        </w:rPr>
        <w:t>部分</w:t>
      </w:r>
      <w:r>
        <w:rPr>
          <w:rFonts w:cs="Times New Roman"/>
          <w:spacing w:val="7"/>
          <w:szCs w:val="24"/>
        </w:rPr>
        <w:t>矿山破坏地下水系统，造成地表水、地下水和土壤</w:t>
      </w:r>
      <w:r>
        <w:rPr>
          <w:rFonts w:cs="Times New Roman" w:hint="eastAsia"/>
          <w:spacing w:val="7"/>
          <w:szCs w:val="24"/>
        </w:rPr>
        <w:t>酸化和重金属</w:t>
      </w:r>
      <w:r>
        <w:rPr>
          <w:rFonts w:cs="Times New Roman"/>
          <w:spacing w:val="7"/>
          <w:szCs w:val="24"/>
        </w:rPr>
        <w:t>污染，早期的不规范开采和土法冶炼引发的大气沉降也导致了土壤重金属污染</w:t>
      </w:r>
      <w:r>
        <w:rPr>
          <w:rFonts w:cs="Times New Roman" w:hint="eastAsia"/>
          <w:spacing w:val="7"/>
          <w:szCs w:val="24"/>
        </w:rPr>
        <w:t>，严重威胁生态环境安全和居民心身健康。</w:t>
      </w:r>
      <w:r>
        <w:rPr>
          <w:rFonts w:cs="Times New Roman"/>
          <w:spacing w:val="7"/>
          <w:szCs w:val="24"/>
        </w:rPr>
        <w:t>目前岩溶山地区金属矿区土壤污染</w:t>
      </w:r>
      <w:r>
        <w:rPr>
          <w:rFonts w:cs="Times New Roman" w:hint="eastAsia"/>
          <w:spacing w:val="7"/>
          <w:szCs w:val="24"/>
        </w:rPr>
        <w:t>风险管控和</w:t>
      </w:r>
      <w:r>
        <w:rPr>
          <w:rFonts w:cs="Times New Roman"/>
          <w:spacing w:val="7"/>
          <w:szCs w:val="24"/>
        </w:rPr>
        <w:t>治理技术</w:t>
      </w:r>
      <w:r>
        <w:rPr>
          <w:rFonts w:cs="Times New Roman" w:hint="eastAsia"/>
          <w:spacing w:val="7"/>
          <w:szCs w:val="24"/>
        </w:rPr>
        <w:t>相关</w:t>
      </w:r>
      <w:r>
        <w:rPr>
          <w:rFonts w:cs="Times New Roman"/>
          <w:spacing w:val="7"/>
          <w:szCs w:val="24"/>
        </w:rPr>
        <w:t>规范和标准不够完善，为了提高</w:t>
      </w:r>
      <w:r>
        <w:rPr>
          <w:rFonts w:cs="Times New Roman" w:hint="eastAsia"/>
          <w:spacing w:val="7"/>
          <w:szCs w:val="24"/>
        </w:rPr>
        <w:t>土壤污染风险管控和</w:t>
      </w:r>
      <w:r>
        <w:rPr>
          <w:rFonts w:cs="Times New Roman"/>
          <w:spacing w:val="7"/>
          <w:szCs w:val="24"/>
        </w:rPr>
        <w:t>治理技术的可操作性和有效性，有必要制定出更加科学、系统和实用的技术规范</w:t>
      </w:r>
      <w:r>
        <w:rPr>
          <w:rFonts w:cs="Times New Roman" w:hint="eastAsia"/>
          <w:spacing w:val="7"/>
          <w:szCs w:val="24"/>
        </w:rPr>
        <w:t>和标准</w:t>
      </w:r>
      <w:r>
        <w:rPr>
          <w:rFonts w:cs="Times New Roman"/>
          <w:spacing w:val="7"/>
          <w:szCs w:val="24"/>
        </w:rPr>
        <w:t>，为今后的土壤污染治理工作提供有力支撑。</w:t>
      </w:r>
    </w:p>
    <w:p w:rsidR="00AB2F55" w:rsidRDefault="00BA6C6A">
      <w:pPr>
        <w:pStyle w:val="2"/>
        <w:ind w:firstLine="562"/>
      </w:pPr>
      <w:bookmarkStart w:id="12" w:name="_Toc12088"/>
      <w:bookmarkStart w:id="13" w:name="_Toc2919"/>
      <w:bookmarkStart w:id="14" w:name="_Toc18902"/>
      <w:r>
        <w:t>1</w:t>
      </w:r>
      <w:r>
        <w:rPr>
          <w:rFonts w:hint="eastAsia"/>
        </w:rPr>
        <w:t>.</w:t>
      </w:r>
      <w:r>
        <w:t xml:space="preserve">2 </w:t>
      </w:r>
      <w:r>
        <w:t>标准制定的目的和</w:t>
      </w:r>
      <w:r>
        <w:rPr>
          <w:rFonts w:hint="eastAsia"/>
        </w:rPr>
        <w:t>意义</w:t>
      </w:r>
      <w:bookmarkEnd w:id="12"/>
      <w:bookmarkEnd w:id="13"/>
      <w:bookmarkEnd w:id="14"/>
    </w:p>
    <w:p w:rsidR="00AB2F55" w:rsidRDefault="00BA6C6A">
      <w:pPr>
        <w:pStyle w:val="3"/>
        <w:ind w:firstLine="482"/>
      </w:pPr>
      <w:bookmarkStart w:id="15" w:name="_Toc22592"/>
      <w:bookmarkStart w:id="16" w:name="_Toc29832"/>
      <w:bookmarkStart w:id="17" w:name="_Toc3421"/>
      <w:r>
        <w:rPr>
          <w:rFonts w:hint="eastAsia"/>
        </w:rPr>
        <w:t xml:space="preserve">1.2.1 </w:t>
      </w:r>
      <w:r>
        <w:rPr>
          <w:rFonts w:hint="eastAsia"/>
        </w:rPr>
        <w:t>标准制定的目的</w:t>
      </w:r>
      <w:bookmarkEnd w:id="15"/>
      <w:bookmarkEnd w:id="16"/>
      <w:bookmarkEnd w:id="17"/>
    </w:p>
    <w:p w:rsidR="00AB2F55" w:rsidRDefault="00BA6C6A">
      <w:pPr>
        <w:ind w:firstLine="480"/>
        <w:rPr>
          <w:color w:val="auto"/>
        </w:rPr>
      </w:pPr>
      <w:r>
        <w:rPr>
          <w:rFonts w:hint="eastAsia"/>
        </w:rPr>
        <w:t>本标准针对</w:t>
      </w:r>
      <w:r>
        <w:rPr>
          <w:rFonts w:hint="eastAsia"/>
          <w:color w:val="auto"/>
        </w:rPr>
        <w:t>岩溶山地</w:t>
      </w:r>
      <w:r>
        <w:rPr>
          <w:rFonts w:hint="eastAsia"/>
        </w:rPr>
        <w:t>金属采选场，</w:t>
      </w:r>
      <w:r>
        <w:rPr>
          <w:rFonts w:hint="eastAsia"/>
          <w:color w:val="auto"/>
        </w:rPr>
        <w:t>特别适用于中、低温热液汞、砷、锑、铊、铅、锌等层控矿床发育的矿集区，区域</w:t>
      </w:r>
      <w:r>
        <w:rPr>
          <w:rFonts w:hint="eastAsia"/>
        </w:rPr>
        <w:t>具有地形复杂、四季、早晚温差大、地质</w:t>
      </w:r>
      <w:r>
        <w:t>高背景</w:t>
      </w:r>
      <w:r>
        <w:rPr>
          <w:rFonts w:hint="eastAsia"/>
        </w:rPr>
        <w:t>与</w:t>
      </w:r>
      <w:r>
        <w:t>复合性重金属污染</w:t>
      </w:r>
      <w:r>
        <w:rPr>
          <w:rFonts w:hint="eastAsia"/>
        </w:rPr>
        <w:t>叠加、矿山废弃物酸化严重</w:t>
      </w:r>
      <w:r>
        <w:t>等特点</w:t>
      </w:r>
      <w:r>
        <w:rPr>
          <w:rFonts w:hint="eastAsia"/>
          <w:color w:val="auto"/>
        </w:rPr>
        <w:t>，</w:t>
      </w:r>
      <w:r>
        <w:rPr>
          <w:rFonts w:ascii="宋体" w:hAnsi="宋体" w:cs="宋体" w:hint="eastAsia"/>
          <w:szCs w:val="24"/>
        </w:rPr>
        <w:t>重金属对</w:t>
      </w:r>
      <w:r>
        <w:rPr>
          <w:rFonts w:ascii="宋体" w:hAnsi="宋体" w:cs="宋体" w:hint="eastAsia"/>
          <w:szCs w:val="24"/>
        </w:rPr>
        <w:t>生态</w:t>
      </w:r>
      <w:r>
        <w:rPr>
          <w:rFonts w:ascii="宋体" w:hAnsi="宋体" w:cs="宋体" w:hint="eastAsia"/>
          <w:szCs w:val="24"/>
        </w:rPr>
        <w:t>环境和人体健康产生</w:t>
      </w:r>
      <w:r>
        <w:rPr>
          <w:rFonts w:ascii="宋体" w:hAnsi="宋体" w:cs="宋体" w:hint="eastAsia"/>
          <w:szCs w:val="24"/>
        </w:rPr>
        <w:t>了</w:t>
      </w:r>
      <w:r>
        <w:rPr>
          <w:rFonts w:ascii="宋体" w:hAnsi="宋体" w:cs="宋体" w:hint="eastAsia"/>
          <w:szCs w:val="24"/>
        </w:rPr>
        <w:t>不良影响</w:t>
      </w:r>
      <w:r>
        <w:rPr>
          <w:rFonts w:ascii="宋体" w:hAnsi="宋体" w:cs="宋体" w:hint="eastAsia"/>
          <w:szCs w:val="24"/>
        </w:rPr>
        <w:t>。</w:t>
      </w:r>
      <w:r>
        <w:rPr>
          <w:rFonts w:hint="eastAsia"/>
          <w:color w:val="auto"/>
        </w:rPr>
        <w:t>提出一套可运用于</w:t>
      </w:r>
      <w:r>
        <w:rPr>
          <w:rFonts w:hint="eastAsia"/>
          <w:color w:val="auto"/>
        </w:rPr>
        <w:t>岩溶山地</w:t>
      </w:r>
      <w:r>
        <w:rPr>
          <w:rFonts w:hint="eastAsia"/>
          <w:color w:val="auto"/>
        </w:rPr>
        <w:t>区</w:t>
      </w:r>
      <w:r>
        <w:rPr>
          <w:rFonts w:hint="eastAsia"/>
          <w:color w:val="auto"/>
        </w:rPr>
        <w:t>金属矿区土壤污染风险管控与修复</w:t>
      </w:r>
      <w:r>
        <w:rPr>
          <w:rFonts w:hint="eastAsia"/>
          <w:color w:val="auto"/>
        </w:rPr>
        <w:t>的技术标准，</w:t>
      </w:r>
      <w:r>
        <w:rPr>
          <w:rFonts w:ascii="宋体" w:hAnsi="宋体" w:cs="宋体" w:hint="eastAsia"/>
          <w:szCs w:val="24"/>
        </w:rPr>
        <w:t>可以规范污染治理和修复行为，保障生态环境和公众健康的安全。</w:t>
      </w:r>
    </w:p>
    <w:p w:rsidR="00AB2F55" w:rsidRDefault="00BA6C6A">
      <w:pPr>
        <w:pStyle w:val="3"/>
        <w:ind w:firstLine="482"/>
      </w:pPr>
      <w:bookmarkStart w:id="18" w:name="_Toc5760"/>
      <w:bookmarkStart w:id="19" w:name="_Toc17850"/>
      <w:bookmarkStart w:id="20" w:name="_Toc4407"/>
      <w:r>
        <w:rPr>
          <w:rFonts w:hint="eastAsia"/>
        </w:rPr>
        <w:t xml:space="preserve">1.2.2 </w:t>
      </w:r>
      <w:r>
        <w:rPr>
          <w:rFonts w:hint="eastAsia"/>
        </w:rPr>
        <w:t>标准制定的意义</w:t>
      </w:r>
      <w:bookmarkEnd w:id="18"/>
      <w:bookmarkEnd w:id="19"/>
      <w:bookmarkEnd w:id="20"/>
    </w:p>
    <w:p w:rsidR="00AB2F55" w:rsidRDefault="00BA6C6A">
      <w:pPr>
        <w:spacing w:before="75" w:line="380" w:lineRule="auto"/>
        <w:ind w:right="80" w:firstLine="496"/>
        <w:rPr>
          <w:rFonts w:ascii="宋体" w:hAnsi="宋体" w:cs="宋体"/>
          <w:spacing w:val="9"/>
          <w:sz w:val="23"/>
          <w:szCs w:val="23"/>
        </w:rPr>
      </w:pPr>
      <w:r>
        <w:rPr>
          <w:rFonts w:ascii="宋体" w:hAnsi="宋体" w:cs="宋体" w:hint="eastAsia"/>
          <w:spacing w:val="9"/>
          <w:sz w:val="23"/>
          <w:szCs w:val="23"/>
        </w:rPr>
        <w:t>（</w:t>
      </w:r>
      <w:r>
        <w:rPr>
          <w:rFonts w:ascii="宋体" w:hAnsi="宋体" w:cs="宋体" w:hint="eastAsia"/>
          <w:spacing w:val="9"/>
          <w:sz w:val="23"/>
          <w:szCs w:val="23"/>
        </w:rPr>
        <w:t>1</w:t>
      </w:r>
      <w:r>
        <w:rPr>
          <w:rFonts w:ascii="宋体" w:hAnsi="宋体" w:cs="宋体" w:hint="eastAsia"/>
          <w:spacing w:val="9"/>
          <w:sz w:val="23"/>
          <w:szCs w:val="23"/>
        </w:rPr>
        <w:t>）</w:t>
      </w:r>
      <w:r>
        <w:rPr>
          <w:rFonts w:ascii="宋体" w:hAnsi="宋体" w:cs="宋体" w:hint="eastAsia"/>
          <w:spacing w:val="9"/>
          <w:sz w:val="23"/>
          <w:szCs w:val="23"/>
        </w:rPr>
        <w:t>标准制定的必要性</w:t>
      </w:r>
    </w:p>
    <w:p w:rsidR="00AB2F55" w:rsidRDefault="00BA6C6A">
      <w:pPr>
        <w:ind w:firstLine="480"/>
      </w:pPr>
      <w:r>
        <w:rPr>
          <w:color w:val="auto"/>
        </w:rPr>
        <w:t>岩溶</w:t>
      </w:r>
      <w:r>
        <w:rPr>
          <w:rFonts w:hint="eastAsia"/>
          <w:color w:val="auto"/>
        </w:rPr>
        <w:t>山</w:t>
      </w:r>
      <w:r>
        <w:rPr>
          <w:color w:val="auto"/>
        </w:rPr>
        <w:t>地</w:t>
      </w:r>
      <w:r>
        <w:rPr>
          <w:rFonts w:hint="eastAsia"/>
          <w:color w:val="auto"/>
        </w:rPr>
        <w:t>区</w:t>
      </w:r>
      <w:r>
        <w:rPr>
          <w:color w:val="auto"/>
        </w:rPr>
        <w:t>金</w:t>
      </w:r>
      <w:r>
        <w:t>属矿山矿床的成因类型多为中温热液矿床，矿石矿物以汞铊矿、闪锌矿、方铅矿、黄铁矿等硫化物矿物为主，脉石矿物以石榴子石、辉石、角闪石等硅酸盐矿物为主。区域内大多矿床开采过程中的选矿方法主要采用浮选方法，尾矿中残留大量黄铁矿和脉石矿物，尾矿大部分在原地堆放，其中含有大量的重金属如</w:t>
      </w:r>
      <w:r>
        <w:t>Hg</w:t>
      </w:r>
      <w:r>
        <w:t>、</w:t>
      </w:r>
      <w:r>
        <w:t>As</w:t>
      </w:r>
      <w:r>
        <w:t>、</w:t>
      </w:r>
      <w:r>
        <w:t>Sb</w:t>
      </w:r>
      <w:r>
        <w:t>、</w:t>
      </w:r>
      <w:r>
        <w:t>Tl</w:t>
      </w:r>
      <w:r>
        <w:t>、</w:t>
      </w:r>
      <w:r>
        <w:t>Ag</w:t>
      </w:r>
      <w:r>
        <w:t>、</w:t>
      </w:r>
      <w:r>
        <w:t>Cd</w:t>
      </w:r>
      <w:r>
        <w:t>、</w:t>
      </w:r>
      <w:r>
        <w:t>Cu</w:t>
      </w:r>
      <w:r>
        <w:t>、</w:t>
      </w:r>
      <w:r>
        <w:t>Pb</w:t>
      </w:r>
      <w:r>
        <w:t>、</w:t>
      </w:r>
      <w:r>
        <w:t>Zn</w:t>
      </w:r>
      <w:r>
        <w:t>和</w:t>
      </w:r>
      <w:r>
        <w:t>Au</w:t>
      </w:r>
      <w:r>
        <w:t>等，由于大多为历史遗留矿山，缺少隔离管控措施，容易向周边</w:t>
      </w:r>
      <w:r>
        <w:t>迁移，成为矿区及周边环境的污染源，进而污染周边的土壤。</w:t>
      </w:r>
      <w:r>
        <w:rPr>
          <w:rFonts w:hint="eastAsia"/>
        </w:rPr>
        <w:t>此外，西南岩溶区域的矿石中大多含硫，</w:t>
      </w:r>
      <w:r>
        <w:t>由于含硫矿物非常不稳定，矿山在采</w:t>
      </w:r>
      <w:r>
        <w:rPr>
          <w:rFonts w:hint="eastAsia"/>
        </w:rPr>
        <w:t>选</w:t>
      </w:r>
      <w:r>
        <w:t>过程中形成的金属硫化矿裸露围岩和尾矿废渣，在生物和非生物因子（雨水、空气、微生物和铁离子等）作用下，矿体围岩表面因持续氧化而侵蚀崩塌，致使大量高毒性重（类）金属离子和酸性物质持续释放，形成含多金属离子的酸性矿山废水复合污染。重（类）金属离子在酸性物质协同下发生迁移转化，经雨水淋滤、地表径流、风力传送、下渗等方式进入矿区周边</w:t>
      </w:r>
      <w:r>
        <w:rPr>
          <w:rFonts w:hint="eastAsia"/>
        </w:rPr>
        <w:t>土壤、溪流及其沉积物</w:t>
      </w:r>
      <w:r>
        <w:t>环境</w:t>
      </w:r>
      <w:r>
        <w:rPr>
          <w:rFonts w:hint="eastAsia"/>
        </w:rPr>
        <w:t>。鉴于</w:t>
      </w:r>
      <w:r>
        <w:t>岩溶</w:t>
      </w:r>
      <w:r>
        <w:rPr>
          <w:rFonts w:hint="eastAsia"/>
        </w:rPr>
        <w:t>地区金属矿山污染特征和环境</w:t>
      </w:r>
      <w:r>
        <w:t>污染</w:t>
      </w:r>
      <w:r>
        <w:rPr>
          <w:rFonts w:hint="eastAsia"/>
        </w:rPr>
        <w:t>的</w:t>
      </w:r>
      <w:r>
        <w:t>源</w:t>
      </w:r>
      <w:r>
        <w:t>-</w:t>
      </w:r>
      <w:r>
        <w:t>径</w:t>
      </w:r>
      <w:r>
        <w:t>-</w:t>
      </w:r>
      <w:r>
        <w:t>汇关系</w:t>
      </w:r>
      <w:r>
        <w:rPr>
          <w:rFonts w:hint="eastAsia"/>
        </w:rPr>
        <w:t>，目前我国缺乏专门针对岩溶山地区金属矿区污染地块污染土壤管控和修复的相关标准，不利于确保各项风险管控措施的质量，也不利于生态环保部门和农业部门的监督管理。结合西南岩溶山地区污染土壤管理需求，制定岩溶山地区金属矿区土壤污染风险管控与修复技术规范具有必要性。</w:t>
      </w:r>
    </w:p>
    <w:p w:rsidR="00AB2F55" w:rsidRDefault="00BA6C6A">
      <w:pPr>
        <w:ind w:firstLine="480"/>
      </w:pPr>
      <w:r>
        <w:rPr>
          <w:rFonts w:hint="eastAsia"/>
        </w:rPr>
        <w:t>（</w:t>
      </w:r>
      <w:r>
        <w:rPr>
          <w:rFonts w:hint="eastAsia"/>
        </w:rPr>
        <w:t>2</w:t>
      </w:r>
      <w:r>
        <w:rPr>
          <w:rFonts w:hint="eastAsia"/>
        </w:rPr>
        <w:t>）标准制定的重要意义</w:t>
      </w:r>
    </w:p>
    <w:p w:rsidR="00AB2F55" w:rsidRDefault="00BA6C6A">
      <w:pPr>
        <w:ind w:firstLine="480"/>
      </w:pPr>
      <w:r>
        <w:rPr>
          <w:rFonts w:hint="eastAsia"/>
        </w:rPr>
        <w:t>标准制定可推动西南岩溶山地区金属采矿行业周边地块土壤加强风险管控的治理力度，推进该区域金属行业的健康发展。本标准的制定及实施为区域环境管理部门的管理工作提供依据。</w:t>
      </w:r>
    </w:p>
    <w:p w:rsidR="00AB2F55" w:rsidRDefault="00BA6C6A">
      <w:pPr>
        <w:ind w:firstLine="480"/>
      </w:pPr>
      <w:r>
        <w:rPr>
          <w:rFonts w:hint="eastAsia"/>
        </w:rPr>
        <w:t>1</w:t>
      </w:r>
      <w:r>
        <w:rPr>
          <w:rFonts w:hint="eastAsia"/>
        </w:rPr>
        <w:t>）落实国家相关政策，提高环保意识</w:t>
      </w:r>
    </w:p>
    <w:p w:rsidR="00AB2F55" w:rsidRDefault="00BA6C6A">
      <w:pPr>
        <w:ind w:firstLine="480"/>
      </w:pPr>
      <w:r>
        <w:rPr>
          <w:rFonts w:hint="eastAsia"/>
        </w:rPr>
        <w:t>《中华人名共和国污染防治法》和《土壤污染防治行动计划》均已明确“风险管控”是我国土壤污染防治工作的重要原则。为此，制定有关污染地块的风险管控标准积极响应了国家有关政策。</w:t>
      </w:r>
    </w:p>
    <w:p w:rsidR="00AB2F55" w:rsidRDefault="00BA6C6A">
      <w:pPr>
        <w:ind w:firstLine="480"/>
      </w:pPr>
      <w:r>
        <w:rPr>
          <w:rFonts w:hint="eastAsia"/>
        </w:rPr>
        <w:t>2</w:t>
      </w:r>
      <w:r>
        <w:rPr>
          <w:rFonts w:hint="eastAsia"/>
        </w:rPr>
        <w:t>）完善相关标准体系，提升相关部门的管理水平</w:t>
      </w:r>
    </w:p>
    <w:p w:rsidR="00AB2F55" w:rsidRDefault="00BA6C6A">
      <w:pPr>
        <w:ind w:firstLine="480"/>
      </w:pPr>
      <w:r>
        <w:rPr>
          <w:rFonts w:hint="eastAsia"/>
        </w:rPr>
        <w:t>上世纪</w:t>
      </w:r>
      <w:r>
        <w:rPr>
          <w:rFonts w:hint="eastAsia"/>
        </w:rPr>
        <w:t>80</w:t>
      </w:r>
      <w:r>
        <w:rPr>
          <w:rFonts w:hint="eastAsia"/>
        </w:rPr>
        <w:t>年代，我国西南岩溶山地区开展了大规模的金属采选和冶炼活动，由于工艺落后和缺乏管理，导致矿山及周边的土壤重金属污染严重。目前我国已经实施了《建设用地土壤污染风险管控和修复监测技术导则》（</w:t>
      </w:r>
      <w:r>
        <w:rPr>
          <w:rFonts w:hint="eastAsia"/>
        </w:rPr>
        <w:t>HJ 25.2-2019</w:t>
      </w:r>
      <w:r>
        <w:rPr>
          <w:rFonts w:hint="eastAsia"/>
        </w:rPr>
        <w:t>），但岩溶山地区环境复杂，已经施行的标准不具备针对性，对岩溶地区金属矿山开采和</w:t>
      </w:r>
      <w:r>
        <w:rPr>
          <w:rFonts w:hint="eastAsia"/>
        </w:rPr>
        <w:t>冶炼行业的指导性缺乏，不利于区域相关行业和地区的发展。</w:t>
      </w:r>
    </w:p>
    <w:p w:rsidR="00AB2F55" w:rsidRDefault="00BA6C6A">
      <w:pPr>
        <w:ind w:firstLine="480"/>
      </w:pPr>
      <w:r>
        <w:rPr>
          <w:rFonts w:hint="eastAsia"/>
        </w:rPr>
        <w:t>3</w:t>
      </w:r>
      <w:r>
        <w:rPr>
          <w:rFonts w:hint="eastAsia"/>
        </w:rPr>
        <w:t>）聚焦目标污染物，科学合理制定风险管控和修复措施</w:t>
      </w:r>
    </w:p>
    <w:p w:rsidR="00AB2F55" w:rsidRDefault="00BA6C6A">
      <w:pPr>
        <w:ind w:firstLine="480"/>
      </w:pPr>
      <w:r>
        <w:rPr>
          <w:rFonts w:hint="eastAsia"/>
        </w:rPr>
        <w:t>重金属是岩溶矿山地区的主要污染物。相比于其他污染物，土壤重金属不易被微生物降解，具有长期性、隐蔽性、积累性和不可逆性等特点。土壤重金属影响土壤性质，还可能转化为毒性更大的烷基化合物，被植物吸收、转运和富集，进而通过食物链在人体内富集，直接影响人体健康。近年来，我国在重金属污染土壤修复治理方面已经取得了显著效果，但仍然缺乏</w:t>
      </w:r>
      <w:r>
        <w:rPr>
          <w:rFonts w:hint="eastAsia"/>
          <w:color w:val="auto"/>
        </w:rPr>
        <w:t>中、低温热液成矿的汞、砷、锑、铊、铅、锌等</w:t>
      </w:r>
      <w:r>
        <w:rPr>
          <w:rFonts w:hint="eastAsia"/>
        </w:rPr>
        <w:t>土壤重金属针对性强的风险管控和修复的技术，标准制定对聚焦目标污染物，科学合理制定风险管控和修复措施具有重要意义。</w:t>
      </w:r>
    </w:p>
    <w:p w:rsidR="00AB2F55" w:rsidRDefault="00BA6C6A">
      <w:pPr>
        <w:pStyle w:val="2"/>
        <w:ind w:firstLine="562"/>
      </w:pPr>
      <w:bookmarkStart w:id="21" w:name="_Toc4654"/>
      <w:bookmarkStart w:id="22" w:name="_Toc29846"/>
      <w:bookmarkStart w:id="23" w:name="_Toc6408"/>
      <w:r>
        <w:rPr>
          <w:rFonts w:hint="eastAsia"/>
        </w:rPr>
        <w:t xml:space="preserve">1.3 </w:t>
      </w:r>
      <w:r>
        <w:rPr>
          <w:rFonts w:hint="eastAsia"/>
        </w:rPr>
        <w:t>主要工作过程</w:t>
      </w:r>
      <w:bookmarkEnd w:id="21"/>
      <w:bookmarkEnd w:id="22"/>
      <w:bookmarkEnd w:id="23"/>
    </w:p>
    <w:p w:rsidR="00AB2F55" w:rsidRDefault="00BA6C6A">
      <w:pPr>
        <w:pStyle w:val="3"/>
        <w:ind w:firstLine="482"/>
      </w:pPr>
      <w:bookmarkStart w:id="24" w:name="_Toc5256"/>
      <w:bookmarkStart w:id="25" w:name="_Toc26649"/>
      <w:bookmarkStart w:id="26" w:name="_Toc2917"/>
      <w:r>
        <w:rPr>
          <w:rFonts w:hint="eastAsia"/>
        </w:rPr>
        <w:t xml:space="preserve">1.3.1 </w:t>
      </w:r>
      <w:r>
        <w:rPr>
          <w:rFonts w:hint="eastAsia"/>
        </w:rPr>
        <w:t>准备阶段</w:t>
      </w:r>
      <w:bookmarkEnd w:id="24"/>
      <w:bookmarkEnd w:id="25"/>
      <w:bookmarkEnd w:id="26"/>
    </w:p>
    <w:p w:rsidR="00AB2F55" w:rsidRDefault="00BA6C6A">
      <w:pPr>
        <w:ind w:firstLine="480"/>
      </w:pPr>
      <w:r>
        <w:rPr>
          <w:rFonts w:hint="eastAsia"/>
        </w:rPr>
        <w:t xml:space="preserve">2020 </w:t>
      </w:r>
      <w:r>
        <w:rPr>
          <w:rFonts w:hint="eastAsia"/>
        </w:rPr>
        <w:t>年</w:t>
      </w:r>
      <w:r>
        <w:rPr>
          <w:rFonts w:hint="eastAsia"/>
        </w:rPr>
        <w:t xml:space="preserve"> 1 </w:t>
      </w:r>
      <w:r>
        <w:rPr>
          <w:rFonts w:hint="eastAsia"/>
        </w:rPr>
        <w:t>月至</w:t>
      </w:r>
      <w:r>
        <w:rPr>
          <w:rFonts w:hint="eastAsia"/>
        </w:rPr>
        <w:t xml:space="preserve"> 9 </w:t>
      </w:r>
      <w:r>
        <w:rPr>
          <w:rFonts w:hint="eastAsia"/>
        </w:rPr>
        <w:t>月开始查阅文献，搜集国家和行业的标准、规范以及其他发达国家制定土壤环境质量标准的相关技术导则。</w:t>
      </w:r>
      <w:r>
        <w:rPr>
          <w:rFonts w:hint="eastAsia"/>
        </w:rPr>
        <w:t>2020</w:t>
      </w:r>
      <w:r>
        <w:rPr>
          <w:rFonts w:hint="eastAsia"/>
        </w:rPr>
        <w:t>年</w:t>
      </w:r>
      <w:r>
        <w:rPr>
          <w:rFonts w:hint="eastAsia"/>
        </w:rPr>
        <w:t>12</w:t>
      </w:r>
      <w:r>
        <w:rPr>
          <w:rFonts w:hint="eastAsia"/>
        </w:rPr>
        <w:t>月，根据</w:t>
      </w:r>
      <w:r>
        <w:t>岩溶山地</w:t>
      </w:r>
      <w:r>
        <w:rPr>
          <w:rFonts w:hint="eastAsia"/>
        </w:rPr>
        <w:t>区</w:t>
      </w:r>
      <w:r>
        <w:t>金属采选场地及周边土壤污染防治技术研发与模式构建</w:t>
      </w:r>
      <w:r>
        <w:rPr>
          <w:rFonts w:hint="eastAsia"/>
        </w:rPr>
        <w:t>项目，初步总结和凝练了岩溶山地区金属矿区土壤污染管控和防治的经验，并形成初步思路。</w:t>
      </w:r>
    </w:p>
    <w:p w:rsidR="00AB2F55" w:rsidRDefault="00AB2F55">
      <w:pPr>
        <w:pStyle w:val="Style1"/>
        <w:ind w:right="19" w:firstLine="0"/>
        <w:rPr>
          <w:rFonts w:ascii="宋体" w:eastAsia="宋体" w:cs="宋体"/>
          <w:spacing w:val="9"/>
          <w:sz w:val="23"/>
          <w:szCs w:val="23"/>
        </w:rPr>
      </w:pPr>
    </w:p>
    <w:p w:rsidR="00AB2F55" w:rsidRDefault="00BA6C6A">
      <w:pPr>
        <w:pStyle w:val="3"/>
        <w:ind w:firstLine="482"/>
      </w:pPr>
      <w:bookmarkStart w:id="27" w:name="_Toc9020"/>
      <w:bookmarkStart w:id="28" w:name="_Toc5884"/>
      <w:bookmarkStart w:id="29" w:name="_Toc2832"/>
      <w:r>
        <w:rPr>
          <w:rFonts w:hint="eastAsia"/>
        </w:rPr>
        <w:t xml:space="preserve">1.3.2 </w:t>
      </w:r>
      <w:r>
        <w:rPr>
          <w:rFonts w:hint="eastAsia"/>
        </w:rPr>
        <w:t>起草阶段和准备报批稿的形成</w:t>
      </w:r>
      <w:bookmarkEnd w:id="27"/>
      <w:bookmarkEnd w:id="28"/>
      <w:bookmarkEnd w:id="29"/>
    </w:p>
    <w:p w:rsidR="00AB2F55" w:rsidRDefault="00BA6C6A">
      <w:pPr>
        <w:ind w:firstLine="480"/>
        <w:rPr>
          <w:rFonts w:ascii="宋体" w:hAnsi="宋体" w:cs="宋体"/>
          <w:spacing w:val="9"/>
          <w:sz w:val="23"/>
          <w:szCs w:val="23"/>
        </w:rPr>
      </w:pPr>
      <w:r>
        <w:rPr>
          <w:rFonts w:cs="Times New Roman"/>
          <w:szCs w:val="24"/>
          <w:lang w:bidi="ar"/>
        </w:rPr>
        <w:t>2021</w:t>
      </w:r>
      <w:r>
        <w:rPr>
          <w:rFonts w:ascii="宋体" w:hAnsi="宋体" w:cs="宋体" w:hint="eastAsia"/>
          <w:szCs w:val="24"/>
          <w:lang w:bidi="ar"/>
        </w:rPr>
        <w:t>年</w:t>
      </w:r>
      <w:r>
        <w:rPr>
          <w:rFonts w:cs="Times New Roman"/>
          <w:szCs w:val="24"/>
          <w:lang w:bidi="ar"/>
        </w:rPr>
        <w:t>10</w:t>
      </w:r>
      <w:r>
        <w:rPr>
          <w:rFonts w:ascii="宋体" w:hAnsi="宋体" w:cs="宋体" w:hint="eastAsia"/>
          <w:szCs w:val="24"/>
          <w:lang w:bidi="ar"/>
        </w:rPr>
        <w:t>月在贵阳召开</w:t>
      </w:r>
      <w:r>
        <w:rPr>
          <w:rFonts w:ascii="宋体" w:hAnsi="宋体" w:cs="宋体" w:hint="eastAsia"/>
          <w:szCs w:val="24"/>
          <w:lang w:bidi="ar"/>
        </w:rPr>
        <w:t>标准制定启动会，</w:t>
      </w:r>
      <w:r>
        <w:rPr>
          <w:rFonts w:cs="Times New Roman"/>
          <w:szCs w:val="24"/>
          <w:lang w:bidi="ar"/>
        </w:rPr>
        <w:t>2022</w:t>
      </w:r>
      <w:r>
        <w:rPr>
          <w:rFonts w:ascii="宋体" w:hAnsi="宋体" w:cs="宋体" w:hint="eastAsia"/>
          <w:szCs w:val="24"/>
          <w:lang w:bidi="ar"/>
        </w:rPr>
        <w:t>年</w:t>
      </w:r>
      <w:r>
        <w:rPr>
          <w:rFonts w:cs="Times New Roman"/>
          <w:szCs w:val="24"/>
          <w:lang w:bidi="ar"/>
        </w:rPr>
        <w:t>1</w:t>
      </w:r>
      <w:r>
        <w:rPr>
          <w:rFonts w:ascii="宋体" w:hAnsi="宋体" w:cs="宋体" w:hint="eastAsia"/>
          <w:szCs w:val="24"/>
          <w:lang w:bidi="ar"/>
        </w:rPr>
        <w:t>月</w:t>
      </w:r>
      <w:r>
        <w:rPr>
          <w:rFonts w:cs="Times New Roman"/>
          <w:szCs w:val="24"/>
          <w:lang w:bidi="ar"/>
        </w:rPr>
        <w:t>10</w:t>
      </w:r>
      <w:r>
        <w:rPr>
          <w:rFonts w:ascii="宋体" w:hAnsi="宋体" w:cs="宋体" w:hint="eastAsia"/>
          <w:szCs w:val="24"/>
          <w:lang w:bidi="ar"/>
        </w:rPr>
        <w:t>月，形成标准的工作组讨论稿。</w:t>
      </w:r>
      <w:r>
        <w:rPr>
          <w:rFonts w:cs="Times New Roman"/>
          <w:szCs w:val="24"/>
          <w:lang w:bidi="ar"/>
        </w:rPr>
        <w:t>2022</w:t>
      </w:r>
      <w:r>
        <w:rPr>
          <w:rFonts w:ascii="宋体" w:hAnsi="宋体" w:cs="宋体" w:hint="eastAsia"/>
          <w:szCs w:val="24"/>
          <w:lang w:bidi="ar"/>
        </w:rPr>
        <w:t>年</w:t>
      </w:r>
      <w:r>
        <w:rPr>
          <w:rFonts w:cs="Times New Roman"/>
          <w:szCs w:val="24"/>
          <w:lang w:bidi="ar"/>
        </w:rPr>
        <w:t>1</w:t>
      </w:r>
      <w:r>
        <w:rPr>
          <w:rFonts w:cs="Times New Roman" w:hint="eastAsia"/>
          <w:szCs w:val="24"/>
          <w:lang w:bidi="ar"/>
        </w:rPr>
        <w:t>2</w:t>
      </w:r>
      <w:r>
        <w:rPr>
          <w:rFonts w:ascii="宋体" w:hAnsi="宋体" w:cs="宋体" w:hint="eastAsia"/>
          <w:szCs w:val="24"/>
          <w:lang w:bidi="ar"/>
        </w:rPr>
        <w:t>月在贵阳召开工作组讨论会，并根据研讨会形成的结论修改标准工作组讨论稿，形成标准征求意见稿，并编写标准的编制说明</w:t>
      </w:r>
      <w:r>
        <w:rPr>
          <w:rFonts w:ascii="宋体" w:hAnsi="宋体" w:cs="宋体" w:hint="eastAsia"/>
          <w:szCs w:val="24"/>
          <w:lang w:bidi="ar"/>
        </w:rPr>
        <w:t>。</w:t>
      </w:r>
    </w:p>
    <w:p w:rsidR="00AB2F55" w:rsidRDefault="00BA6C6A">
      <w:pPr>
        <w:pStyle w:val="2"/>
        <w:ind w:firstLine="562"/>
      </w:pPr>
      <w:bookmarkStart w:id="30" w:name="_Toc5131"/>
      <w:bookmarkStart w:id="31" w:name="_Toc4352"/>
      <w:bookmarkStart w:id="32" w:name="_Toc27450"/>
      <w:r>
        <w:rPr>
          <w:rFonts w:hint="eastAsia"/>
        </w:rPr>
        <w:t xml:space="preserve">1.4 </w:t>
      </w:r>
      <w:r>
        <w:rPr>
          <w:rFonts w:hint="eastAsia"/>
        </w:rPr>
        <w:t>主要参加起草单位和工作组成员所做的工作</w:t>
      </w:r>
      <w:bookmarkEnd w:id="30"/>
      <w:bookmarkEnd w:id="31"/>
      <w:bookmarkEnd w:id="32"/>
    </w:p>
    <w:p w:rsidR="00AB2F55" w:rsidRDefault="00BA6C6A">
      <w:pPr>
        <w:ind w:firstLine="480"/>
      </w:pPr>
      <w:bookmarkStart w:id="33" w:name="_bookmark3"/>
      <w:bookmarkEnd w:id="33"/>
      <w:r>
        <w:t>由</w:t>
      </w:r>
      <w:r>
        <w:rPr>
          <w:rFonts w:hint="eastAsia"/>
        </w:rPr>
        <w:t>贵州大学</w:t>
      </w:r>
      <w:r>
        <w:rPr>
          <w:rFonts w:hint="eastAsia"/>
        </w:rPr>
        <w:t>、</w:t>
      </w:r>
      <w:r>
        <w:rPr>
          <w:rFonts w:hint="eastAsia"/>
        </w:rPr>
        <w:t>中国节能中咨华瑞科技有限公司</w:t>
      </w:r>
      <w:r>
        <w:rPr>
          <w:rFonts w:hint="eastAsia"/>
        </w:rPr>
        <w:t>和</w:t>
      </w:r>
      <w:r>
        <w:rPr>
          <w:rFonts w:hint="eastAsia"/>
        </w:rPr>
        <w:t>中国科学院南京土壤研究所</w:t>
      </w:r>
      <w:r>
        <w:rPr>
          <w:rFonts w:hint="eastAsia"/>
        </w:rPr>
        <w:t>相关研究人员组成</w:t>
      </w:r>
      <w:r>
        <w:t>标准制定工作组</w:t>
      </w:r>
      <w:r>
        <w:rPr>
          <w:rFonts w:hint="eastAsia"/>
        </w:rPr>
        <w:t>共同完成相关工作。其中贵州大学负责调查材料准备和标准的起草，</w:t>
      </w:r>
      <w:r>
        <w:rPr>
          <w:rFonts w:hint="eastAsia"/>
        </w:rPr>
        <w:t>中国节能中咨华瑞科技有限公司</w:t>
      </w:r>
      <w:r>
        <w:rPr>
          <w:rFonts w:hint="eastAsia"/>
        </w:rPr>
        <w:t>负责总结项目工程实施经验提出主要技术内容，中国科学院南京土壤研究所</w:t>
      </w:r>
      <w:r>
        <w:t>负责</w:t>
      </w:r>
      <w:r>
        <w:rPr>
          <w:rFonts w:hint="eastAsia"/>
        </w:rPr>
        <w:t>标准</w:t>
      </w:r>
      <w:r>
        <w:t>申报、标准研讨会议的组织工作，</w:t>
      </w:r>
      <w:r>
        <w:rPr>
          <w:rFonts w:hint="eastAsia"/>
        </w:rPr>
        <w:t>3</w:t>
      </w:r>
      <w:r>
        <w:rPr>
          <w:rFonts w:hint="eastAsia"/>
        </w:rPr>
        <w:t>家单位共同</w:t>
      </w:r>
      <w:r>
        <w:t>负责对标准的技术性内容进行审查和修改。</w:t>
      </w:r>
    </w:p>
    <w:p w:rsidR="00AB2F55" w:rsidRDefault="00BA6C6A">
      <w:pPr>
        <w:pStyle w:val="1"/>
        <w:ind w:firstLine="602"/>
      </w:pPr>
      <w:bookmarkStart w:id="34" w:name="_Toc4172"/>
      <w:bookmarkStart w:id="35" w:name="_Toc26144"/>
      <w:bookmarkStart w:id="36" w:name="_Toc17135"/>
      <w:r>
        <w:rPr>
          <w:rFonts w:hint="eastAsia"/>
        </w:rPr>
        <w:t xml:space="preserve">2 </w:t>
      </w:r>
      <w:r>
        <w:rPr>
          <w:rFonts w:hint="eastAsia"/>
        </w:rPr>
        <w:t>标准编制原则确定标准的主要依据</w:t>
      </w:r>
      <w:bookmarkEnd w:id="34"/>
      <w:bookmarkEnd w:id="35"/>
      <w:bookmarkEnd w:id="36"/>
    </w:p>
    <w:p w:rsidR="00AB2F55" w:rsidRDefault="00BA6C6A">
      <w:pPr>
        <w:pStyle w:val="2"/>
        <w:ind w:firstLine="562"/>
      </w:pPr>
      <w:bookmarkStart w:id="37" w:name="_Toc32553"/>
      <w:bookmarkStart w:id="38" w:name="_Toc22443"/>
      <w:bookmarkStart w:id="39" w:name="_Toc21031"/>
      <w:r>
        <w:rPr>
          <w:rFonts w:hint="eastAsia"/>
        </w:rPr>
        <w:t xml:space="preserve">2.1 </w:t>
      </w:r>
      <w:r>
        <w:rPr>
          <w:rFonts w:hint="eastAsia"/>
        </w:rPr>
        <w:t>确定标准的主要技术指标的基本原则</w:t>
      </w:r>
      <w:bookmarkEnd w:id="37"/>
      <w:bookmarkEnd w:id="38"/>
      <w:bookmarkEnd w:id="39"/>
    </w:p>
    <w:p w:rsidR="00AB2F55" w:rsidRDefault="00BA6C6A">
      <w:pPr>
        <w:ind w:firstLine="480"/>
      </w:pPr>
      <w:r>
        <w:rPr>
          <w:rFonts w:hint="eastAsia"/>
        </w:rPr>
        <w:t>本标准为西南岩溶山地区金属矿区土壤污染风险管控与修复提供技术</w:t>
      </w:r>
      <w:r>
        <w:rPr>
          <w:rFonts w:hint="eastAsia"/>
          <w:color w:val="auto"/>
        </w:rPr>
        <w:t>支持</w:t>
      </w:r>
      <w:r>
        <w:rPr>
          <w:rFonts w:hint="eastAsia"/>
        </w:rPr>
        <w:t>，突出了科学性、完整性、统一性和协调性。</w:t>
      </w:r>
    </w:p>
    <w:p w:rsidR="00AB2F55" w:rsidRDefault="00BA6C6A">
      <w:pPr>
        <w:ind w:firstLine="480"/>
      </w:pPr>
      <w:r>
        <w:rPr>
          <w:rFonts w:hint="eastAsia"/>
        </w:rPr>
        <w:t>（</w:t>
      </w:r>
      <w:r>
        <w:rPr>
          <w:rFonts w:hint="eastAsia"/>
        </w:rPr>
        <w:t>1</w:t>
      </w:r>
      <w:r>
        <w:rPr>
          <w:rFonts w:hint="eastAsia"/>
        </w:rPr>
        <w:t>）</w:t>
      </w:r>
      <w:r>
        <w:t>科学性原则。</w:t>
      </w:r>
      <w:r>
        <w:rPr>
          <w:rFonts w:hint="eastAsia"/>
        </w:rPr>
        <w:t>标准</w:t>
      </w:r>
      <w:r>
        <w:t>的编制结合重金属污染特征，科学规范了相关风险管控措施要求和工程要求，确保风险管控措施的实施合理可行。</w:t>
      </w:r>
      <w:r>
        <w:t xml:space="preserve"> </w:t>
      </w:r>
    </w:p>
    <w:p w:rsidR="00AB2F55" w:rsidRDefault="00BA6C6A">
      <w:pPr>
        <w:ind w:firstLine="480"/>
      </w:pPr>
      <w:r>
        <w:t>（</w:t>
      </w:r>
      <w:r>
        <w:t>2</w:t>
      </w:r>
      <w:r>
        <w:t>）完整性原则。指南系统规定了</w:t>
      </w:r>
      <w:r>
        <w:rPr>
          <w:rFonts w:hint="eastAsia"/>
        </w:rPr>
        <w:t>岩溶矿山周边土壤</w:t>
      </w:r>
      <w:r>
        <w:t>污染地块环境风险管控</w:t>
      </w:r>
      <w:r>
        <w:rPr>
          <w:rFonts w:hint="eastAsia"/>
        </w:rPr>
        <w:t>和修复</w:t>
      </w:r>
      <w:r>
        <w:t>要求</w:t>
      </w:r>
      <w:r>
        <w:rPr>
          <w:rFonts w:hint="eastAsia"/>
        </w:rPr>
        <w:t>等</w:t>
      </w:r>
      <w:r>
        <w:t>内容，</w:t>
      </w:r>
      <w:r>
        <w:rPr>
          <w:rFonts w:hint="eastAsia"/>
        </w:rPr>
        <w:t>预防优先的</w:t>
      </w:r>
      <w:r>
        <w:t>管理理念。</w:t>
      </w:r>
      <w:r>
        <w:t xml:space="preserve"> </w:t>
      </w:r>
    </w:p>
    <w:p w:rsidR="00AB2F55" w:rsidRDefault="00BA6C6A">
      <w:pPr>
        <w:ind w:firstLine="480"/>
      </w:pPr>
      <w:r>
        <w:t>（</w:t>
      </w:r>
      <w:r>
        <w:t>3</w:t>
      </w:r>
      <w:r>
        <w:t>）统一</w:t>
      </w:r>
      <w:r>
        <w:t>性原则。该指南与已经发布或正在编制污染地块环境保护相关的管理文件、技术政策、排放标准、技术指南和规范等文件保持一致。</w:t>
      </w:r>
      <w:r>
        <w:t xml:space="preserve"> </w:t>
      </w:r>
    </w:p>
    <w:p w:rsidR="00AB2F55" w:rsidRDefault="00BA6C6A">
      <w:pPr>
        <w:ind w:firstLine="480"/>
      </w:pPr>
      <w:r>
        <w:t>（</w:t>
      </w:r>
      <w:r>
        <w:t>4</w:t>
      </w:r>
      <w:r>
        <w:t>）协调性原则。该指南与其他同类型环保标准是互</w:t>
      </w:r>
      <w:r>
        <w:rPr>
          <w:rFonts w:ascii="宋体" w:hAnsi="宋体" w:cs="宋体"/>
          <w:szCs w:val="24"/>
        </w:rPr>
        <w:t>相联系、互相衔接和补充的</w:t>
      </w:r>
      <w:r>
        <w:rPr>
          <w:rFonts w:ascii="宋体" w:hAnsi="宋体" w:cs="宋体" w:hint="eastAsia"/>
          <w:szCs w:val="24"/>
        </w:rPr>
        <w:t>。</w:t>
      </w:r>
    </w:p>
    <w:p w:rsidR="00AB2F55" w:rsidRDefault="00BA6C6A">
      <w:pPr>
        <w:pStyle w:val="2"/>
        <w:ind w:firstLine="562"/>
      </w:pPr>
      <w:bookmarkStart w:id="40" w:name="_Toc22693"/>
      <w:bookmarkStart w:id="41" w:name="_Toc16630"/>
      <w:bookmarkStart w:id="42" w:name="_Toc9383"/>
      <w:r>
        <w:rPr>
          <w:rFonts w:hint="eastAsia"/>
        </w:rPr>
        <w:t xml:space="preserve">2.2 </w:t>
      </w:r>
      <w:r>
        <w:rPr>
          <w:rFonts w:hint="eastAsia"/>
        </w:rPr>
        <w:t>标准编写原则</w:t>
      </w:r>
      <w:bookmarkEnd w:id="40"/>
      <w:bookmarkEnd w:id="41"/>
      <w:bookmarkEnd w:id="42"/>
    </w:p>
    <w:p w:rsidR="00AB2F55" w:rsidRDefault="00BA6C6A">
      <w:pPr>
        <w:ind w:firstLine="480"/>
      </w:pPr>
      <w:r>
        <w:rPr>
          <w:rFonts w:hint="eastAsia"/>
        </w:rPr>
        <w:t>本标准参考我国及其他地方现行土壤环境质量标准及指导性文件等，并考虑我国岩溶山地区现有的土壤环境质量监测能力和实际情况，确保标准的科学性、可行性和可操作性。</w:t>
      </w:r>
    </w:p>
    <w:p w:rsidR="00AB2F55" w:rsidRDefault="00BA6C6A">
      <w:pPr>
        <w:pStyle w:val="2"/>
        <w:ind w:firstLine="562"/>
      </w:pPr>
      <w:bookmarkStart w:id="43" w:name="_Toc10027"/>
      <w:bookmarkStart w:id="44" w:name="_Toc22853"/>
      <w:bookmarkStart w:id="45" w:name="_Toc8983"/>
      <w:r>
        <w:rPr>
          <w:rFonts w:hint="eastAsia"/>
        </w:rPr>
        <w:t xml:space="preserve">2.3 </w:t>
      </w:r>
      <w:r>
        <w:rPr>
          <w:rFonts w:hint="eastAsia"/>
        </w:rPr>
        <w:t>主要技术内容</w:t>
      </w:r>
      <w:bookmarkEnd w:id="43"/>
      <w:bookmarkEnd w:id="44"/>
      <w:bookmarkEnd w:id="45"/>
    </w:p>
    <w:p w:rsidR="00AB2F55" w:rsidRDefault="00BA6C6A">
      <w:pPr>
        <w:ind w:firstLine="480"/>
        <w:rPr>
          <w:rFonts w:ascii="宋体" w:hAnsi="宋体" w:cs="宋体"/>
          <w:szCs w:val="24"/>
        </w:rPr>
      </w:pPr>
      <w:r>
        <w:rPr>
          <w:rFonts w:ascii="宋体" w:hAnsi="宋体" w:cs="宋体"/>
          <w:szCs w:val="24"/>
        </w:rPr>
        <w:t>本指南主要分为</w:t>
      </w:r>
      <w:r>
        <w:rPr>
          <w:rFonts w:ascii="宋体" w:hAnsi="宋体" w:cs="宋体" w:hint="eastAsia"/>
          <w:szCs w:val="24"/>
        </w:rPr>
        <w:t>九</w:t>
      </w:r>
      <w:r>
        <w:rPr>
          <w:rFonts w:ascii="宋体" w:hAnsi="宋体" w:cs="宋体"/>
          <w:szCs w:val="24"/>
        </w:rPr>
        <w:t>章，包括适用范围、规范性引用文件、术语和定义、</w:t>
      </w:r>
      <w:r>
        <w:rPr>
          <w:rFonts w:ascii="宋体" w:hAnsi="宋体" w:cs="宋体"/>
          <w:color w:val="auto"/>
          <w:szCs w:val="24"/>
        </w:rPr>
        <w:t>工作流程、</w:t>
      </w:r>
      <w:r>
        <w:rPr>
          <w:rFonts w:ascii="宋体" w:hAnsi="宋体" w:cs="宋体" w:hint="eastAsia"/>
          <w:szCs w:val="24"/>
        </w:rPr>
        <w:t>矿区</w:t>
      </w:r>
      <w:r>
        <w:rPr>
          <w:rFonts w:ascii="宋体" w:hAnsi="宋体" w:cs="宋体"/>
          <w:szCs w:val="24"/>
        </w:rPr>
        <w:t>环境调查、风险评估、风险管控</w:t>
      </w:r>
      <w:r>
        <w:rPr>
          <w:rFonts w:ascii="宋体" w:hAnsi="宋体" w:cs="宋体" w:hint="eastAsia"/>
          <w:szCs w:val="24"/>
        </w:rPr>
        <w:t>和修复</w:t>
      </w:r>
      <w:r>
        <w:rPr>
          <w:rFonts w:ascii="宋体" w:hAnsi="宋体" w:cs="宋体"/>
          <w:szCs w:val="24"/>
        </w:rPr>
        <w:t>、</w:t>
      </w:r>
      <w:r>
        <w:rPr>
          <w:rFonts w:ascii="宋体" w:hAnsi="宋体" w:cs="宋体" w:hint="eastAsia"/>
          <w:szCs w:val="24"/>
        </w:rPr>
        <w:t>长期监测与综合管理和矿区环境风险管控验收</w:t>
      </w:r>
      <w:r>
        <w:rPr>
          <w:rFonts w:ascii="宋体" w:hAnsi="宋体" w:cs="宋体"/>
          <w:szCs w:val="24"/>
        </w:rPr>
        <w:t>。</w:t>
      </w:r>
    </w:p>
    <w:p w:rsidR="00AB2F55" w:rsidRDefault="00BA6C6A">
      <w:pPr>
        <w:pStyle w:val="3"/>
        <w:ind w:firstLine="482"/>
      </w:pPr>
      <w:bookmarkStart w:id="46" w:name="_Toc791"/>
      <w:bookmarkStart w:id="47" w:name="_Toc10744"/>
      <w:bookmarkStart w:id="48" w:name="_Toc8874"/>
      <w:r>
        <w:rPr>
          <w:rFonts w:hint="eastAsia"/>
        </w:rPr>
        <w:t xml:space="preserve">2.3.1 </w:t>
      </w:r>
      <w:r>
        <w:t>适用范围</w:t>
      </w:r>
      <w:bookmarkEnd w:id="46"/>
      <w:bookmarkEnd w:id="47"/>
      <w:bookmarkEnd w:id="48"/>
    </w:p>
    <w:p w:rsidR="00AB2F55" w:rsidRDefault="00BA6C6A">
      <w:pPr>
        <w:ind w:firstLine="480"/>
      </w:pPr>
      <w:r>
        <w:rPr>
          <w:color w:val="auto"/>
        </w:rPr>
        <w:t>本</w:t>
      </w:r>
      <w:r>
        <w:rPr>
          <w:rFonts w:hint="eastAsia"/>
          <w:color w:val="auto"/>
        </w:rPr>
        <w:t>标准</w:t>
      </w:r>
      <w:r>
        <w:t>规定了岩溶山地区金属矿区土壤重金属污染风险管控和污染修复治理相关的术语和定义、环境调查、风险评价、风险管控和污染修复的工作程序。</w:t>
      </w:r>
    </w:p>
    <w:p w:rsidR="00AB2F55" w:rsidRDefault="00BA6C6A">
      <w:pPr>
        <w:ind w:firstLine="480"/>
      </w:pPr>
      <w:r>
        <w:t>本文件适用于</w:t>
      </w:r>
      <w:r>
        <w:rPr>
          <w:rFonts w:hint="eastAsia"/>
        </w:rPr>
        <w:t>我国</w:t>
      </w:r>
      <w:r>
        <w:t>岩溶山地区金属矿山场地及周边地区土壤重金属污染风险管控和污染修复，特别适用于低温热液汞、砷、锑、铊、铅、锌等的层控矿床，其它类似地区可参照执行。</w:t>
      </w:r>
    </w:p>
    <w:p w:rsidR="00AB2F55" w:rsidRDefault="00BA6C6A">
      <w:pPr>
        <w:pStyle w:val="3"/>
        <w:ind w:firstLine="482"/>
        <w:rPr>
          <w:rFonts w:ascii="宋体" w:eastAsia="宋体" w:cs="宋体"/>
          <w:szCs w:val="24"/>
        </w:rPr>
      </w:pPr>
      <w:bookmarkStart w:id="49" w:name="_Toc20362"/>
      <w:bookmarkStart w:id="50" w:name="_Toc26734"/>
      <w:bookmarkStart w:id="51" w:name="_Toc23867"/>
      <w:r>
        <w:rPr>
          <w:rFonts w:hint="eastAsia"/>
        </w:rPr>
        <w:t xml:space="preserve">2.3.2 </w:t>
      </w:r>
      <w:r>
        <w:rPr>
          <w:rFonts w:hint="eastAsia"/>
        </w:rPr>
        <w:t>规范性引用文件</w:t>
      </w:r>
      <w:bookmarkEnd w:id="49"/>
      <w:bookmarkEnd w:id="50"/>
      <w:bookmarkEnd w:id="51"/>
    </w:p>
    <w:p w:rsidR="00AB2F55" w:rsidRDefault="00BA6C6A">
      <w:pPr>
        <w:pStyle w:val="a9"/>
        <w:adjustRightInd w:val="0"/>
        <w:snapToGrid w:val="0"/>
        <w:spacing w:after="0" w:line="360" w:lineRule="auto"/>
        <w:ind w:firstLine="516"/>
        <w:rPr>
          <w:rFonts w:ascii="Times New Roman" w:hAnsi="Times New Roman"/>
          <w:snapToGrid w:val="0"/>
          <w:color w:val="000000"/>
          <w:spacing w:val="9"/>
          <w:sz w:val="24"/>
          <w:szCs w:val="24"/>
        </w:rPr>
      </w:pPr>
      <w:r>
        <w:rPr>
          <w:rFonts w:ascii="Times New Roman" w:hAnsi="Times New Roman" w:hint="eastAsia"/>
          <w:snapToGrid w:val="0"/>
          <w:color w:val="000000"/>
          <w:spacing w:val="9"/>
          <w:sz w:val="24"/>
          <w:szCs w:val="24"/>
        </w:rPr>
        <w:t>标准</w:t>
      </w:r>
      <w:r>
        <w:rPr>
          <w:rFonts w:ascii="Times New Roman" w:hAnsi="Times New Roman"/>
          <w:snapToGrid w:val="0"/>
          <w:color w:val="000000"/>
          <w:spacing w:val="9"/>
          <w:sz w:val="24"/>
          <w:szCs w:val="24"/>
        </w:rPr>
        <w:t>按照</w:t>
      </w:r>
      <w:r>
        <w:rPr>
          <w:rFonts w:ascii="Times New Roman" w:hAnsi="Times New Roman"/>
          <w:snapToGrid w:val="0"/>
          <w:color w:val="000000"/>
          <w:spacing w:val="9"/>
          <w:sz w:val="24"/>
          <w:szCs w:val="24"/>
        </w:rPr>
        <w:t>GB/T 1.1</w:t>
      </w:r>
      <w:r>
        <w:rPr>
          <w:rFonts w:ascii="Times New Roman" w:hAnsi="Times New Roman" w:hint="eastAsia"/>
          <w:snapToGrid w:val="0"/>
          <w:color w:val="000000"/>
          <w:spacing w:val="9"/>
          <w:sz w:val="24"/>
          <w:szCs w:val="24"/>
        </w:rPr>
        <w:t>—</w:t>
      </w:r>
      <w:r>
        <w:rPr>
          <w:rFonts w:ascii="Times New Roman" w:hAnsi="Times New Roman"/>
          <w:snapToGrid w:val="0"/>
          <w:color w:val="000000"/>
          <w:spacing w:val="9"/>
          <w:sz w:val="24"/>
          <w:szCs w:val="24"/>
        </w:rPr>
        <w:t>2020</w:t>
      </w:r>
      <w:r>
        <w:rPr>
          <w:rFonts w:ascii="Times New Roman" w:hAnsi="Times New Roman"/>
          <w:snapToGrid w:val="0"/>
          <w:color w:val="000000"/>
          <w:spacing w:val="9"/>
          <w:sz w:val="24"/>
          <w:szCs w:val="24"/>
        </w:rPr>
        <w:t>《标准化工作导则</w:t>
      </w:r>
      <w:r>
        <w:rPr>
          <w:rFonts w:ascii="Times New Roman" w:hAnsi="Times New Roman"/>
          <w:snapToGrid w:val="0"/>
          <w:color w:val="000000"/>
          <w:spacing w:val="9"/>
          <w:sz w:val="24"/>
          <w:szCs w:val="24"/>
        </w:rPr>
        <w:t xml:space="preserve"> </w:t>
      </w:r>
      <w:r>
        <w:rPr>
          <w:rFonts w:ascii="Times New Roman" w:hAnsi="Times New Roman"/>
          <w:snapToGrid w:val="0"/>
          <w:color w:val="000000"/>
          <w:spacing w:val="9"/>
          <w:sz w:val="24"/>
          <w:szCs w:val="24"/>
        </w:rPr>
        <w:t>第</w:t>
      </w:r>
      <w:r>
        <w:rPr>
          <w:rFonts w:ascii="Times New Roman" w:hAnsi="Times New Roman"/>
          <w:snapToGrid w:val="0"/>
          <w:color w:val="000000"/>
          <w:spacing w:val="9"/>
          <w:sz w:val="24"/>
          <w:szCs w:val="24"/>
        </w:rPr>
        <w:t>1</w:t>
      </w:r>
      <w:r>
        <w:rPr>
          <w:rFonts w:ascii="Times New Roman" w:hAnsi="Times New Roman"/>
          <w:snapToGrid w:val="0"/>
          <w:color w:val="000000"/>
          <w:spacing w:val="9"/>
          <w:sz w:val="24"/>
          <w:szCs w:val="24"/>
        </w:rPr>
        <w:t>部分：标准化文件的结构和起草规则》的规定起草。</w:t>
      </w:r>
      <w:r>
        <w:rPr>
          <w:rFonts w:ascii="Times New Roman" w:hAnsi="Times New Roman" w:hint="eastAsia"/>
          <w:snapToGrid w:val="0"/>
          <w:color w:val="000000"/>
          <w:spacing w:val="9"/>
          <w:sz w:val="24"/>
          <w:szCs w:val="24"/>
        </w:rPr>
        <w:t>在标准中引用了下列文件：</w:t>
      </w:r>
    </w:p>
    <w:p w:rsidR="00AB2F55" w:rsidRDefault="00BA6C6A">
      <w:pPr>
        <w:pStyle w:val="a6"/>
        <w:spacing w:beforeAutospacing="0" w:afterAutospacing="0"/>
        <w:ind w:firstLine="516"/>
        <w:rPr>
          <w:spacing w:val="9"/>
          <w:szCs w:val="24"/>
        </w:rPr>
      </w:pPr>
      <w:r>
        <w:rPr>
          <w:spacing w:val="9"/>
          <w:szCs w:val="24"/>
        </w:rPr>
        <w:t>GB 3838</w:t>
      </w:r>
      <w:r>
        <w:rPr>
          <w:rFonts w:hint="eastAsia"/>
          <w:spacing w:val="9"/>
          <w:szCs w:val="24"/>
        </w:rPr>
        <w:t xml:space="preserve">  </w:t>
      </w:r>
      <w:r>
        <w:rPr>
          <w:spacing w:val="9"/>
          <w:szCs w:val="24"/>
        </w:rPr>
        <w:t>地表水环境质量标准</w:t>
      </w:r>
      <w:r>
        <w:rPr>
          <w:rFonts w:hint="eastAsia"/>
          <w:spacing w:val="9"/>
          <w:szCs w:val="24"/>
        </w:rPr>
        <w:t>：</w:t>
      </w:r>
      <w:r>
        <w:rPr>
          <w:rFonts w:ascii="宋体" w:hAnsi="宋体" w:cs="宋体" w:hint="eastAsia"/>
          <w:kern w:val="2"/>
          <w:szCs w:val="24"/>
        </w:rPr>
        <w:t>标准</w:t>
      </w:r>
      <w:r>
        <w:rPr>
          <w:rFonts w:ascii="宋体" w:hAnsi="宋体" w:cs="宋体"/>
          <w:kern w:val="2"/>
          <w:szCs w:val="24"/>
        </w:rPr>
        <w:t>定义了地表水环境质量的指标体系，包括水质类别、水质指标及其限值和目标值、水样采集及分析方法等</w:t>
      </w:r>
      <w:r>
        <w:rPr>
          <w:rFonts w:ascii="宋体" w:hAnsi="宋体" w:cs="宋体" w:hint="eastAsia"/>
          <w:kern w:val="2"/>
          <w:szCs w:val="24"/>
        </w:rPr>
        <w:t>；</w:t>
      </w:r>
      <w:r>
        <w:rPr>
          <w:rFonts w:ascii="宋体" w:hAnsi="宋体" w:cs="宋体"/>
          <w:kern w:val="2"/>
          <w:szCs w:val="24"/>
        </w:rPr>
        <w:t>指定了常规水质指标和污染物指标</w:t>
      </w:r>
      <w:r>
        <w:rPr>
          <w:rFonts w:ascii="宋体" w:hAnsi="宋体" w:cs="宋体" w:hint="eastAsia"/>
          <w:kern w:val="2"/>
          <w:szCs w:val="24"/>
        </w:rPr>
        <w:t>；</w:t>
      </w:r>
      <w:r>
        <w:rPr>
          <w:rFonts w:ascii="宋体" w:hAnsi="宋体" w:cs="宋体"/>
          <w:kern w:val="2"/>
          <w:szCs w:val="24"/>
        </w:rPr>
        <w:t>对水样采集、保存、分析等要求进行了规定，为保证测试结果的准确性提供了技术保障</w:t>
      </w:r>
      <w:r>
        <w:rPr>
          <w:rFonts w:ascii="宋体" w:hAnsi="宋体" w:cs="宋体" w:hint="eastAsia"/>
          <w:kern w:val="2"/>
          <w:szCs w:val="24"/>
        </w:rPr>
        <w:t>；标准为矿区</w:t>
      </w:r>
      <w:r>
        <w:rPr>
          <w:rFonts w:ascii="宋体" w:hAnsi="宋体" w:cs="宋体"/>
          <w:kern w:val="2"/>
          <w:szCs w:val="24"/>
        </w:rPr>
        <w:t>地表水</w:t>
      </w:r>
      <w:r>
        <w:rPr>
          <w:rFonts w:ascii="宋体" w:hAnsi="宋体" w:cs="宋体" w:hint="eastAsia"/>
          <w:kern w:val="2"/>
          <w:szCs w:val="24"/>
        </w:rPr>
        <w:t>采样分析、污染风险评估和修复效果评价提供了依据。</w:t>
      </w:r>
    </w:p>
    <w:p w:rsidR="00AB2F55" w:rsidRDefault="00BA6C6A">
      <w:pPr>
        <w:spacing w:line="240" w:lineRule="auto"/>
        <w:ind w:firstLine="480"/>
        <w:rPr>
          <w:rFonts w:ascii="宋体" w:hAnsi="宋体" w:cs="宋体"/>
          <w:kern w:val="2"/>
          <w:szCs w:val="24"/>
        </w:rPr>
      </w:pPr>
      <w:r>
        <w:rPr>
          <w:rFonts w:ascii="宋体" w:hAnsi="宋体" w:cs="宋体"/>
          <w:kern w:val="2"/>
          <w:szCs w:val="24"/>
        </w:rPr>
        <w:t>GB 5085.1</w:t>
      </w:r>
      <w:r>
        <w:rPr>
          <w:rFonts w:ascii="宋体" w:hAnsi="宋体" w:cs="宋体" w:hint="eastAsia"/>
          <w:kern w:val="2"/>
          <w:szCs w:val="24"/>
        </w:rPr>
        <w:t xml:space="preserve">  </w:t>
      </w:r>
      <w:r>
        <w:rPr>
          <w:rFonts w:ascii="宋体" w:hAnsi="宋体" w:cs="宋体"/>
          <w:kern w:val="2"/>
          <w:szCs w:val="24"/>
        </w:rPr>
        <w:t>危险废物鉴别标准</w:t>
      </w:r>
      <w:r>
        <w:rPr>
          <w:rFonts w:ascii="宋体" w:hAnsi="宋体" w:cs="宋体"/>
          <w:kern w:val="2"/>
          <w:szCs w:val="24"/>
        </w:rPr>
        <w:t xml:space="preserve"> </w:t>
      </w:r>
      <w:r>
        <w:rPr>
          <w:rFonts w:ascii="宋体" w:hAnsi="宋体" w:cs="宋体"/>
          <w:kern w:val="2"/>
          <w:szCs w:val="24"/>
        </w:rPr>
        <w:t>腐蚀性鉴别：</w:t>
      </w:r>
      <w:r>
        <w:rPr>
          <w:rFonts w:ascii="宋体" w:hAnsi="宋体" w:cs="宋体"/>
          <w:kern w:val="2"/>
          <w:szCs w:val="24"/>
        </w:rPr>
        <w:t>包括</w:t>
      </w:r>
      <w:r>
        <w:rPr>
          <w:rFonts w:ascii="宋体" w:hAnsi="宋体" w:cs="宋体" w:hint="eastAsia"/>
          <w:kern w:val="2"/>
          <w:szCs w:val="24"/>
        </w:rPr>
        <w:t>危险废弃腐蚀性</w:t>
      </w:r>
      <w:r>
        <w:rPr>
          <w:rFonts w:ascii="宋体" w:hAnsi="宋体" w:cs="宋体"/>
          <w:kern w:val="2"/>
          <w:szCs w:val="24"/>
        </w:rPr>
        <w:t>鉴别</w:t>
      </w:r>
      <w:r>
        <w:rPr>
          <w:rFonts w:ascii="宋体" w:hAnsi="宋体" w:cs="宋体" w:hint="eastAsia"/>
          <w:kern w:val="2"/>
          <w:szCs w:val="24"/>
        </w:rPr>
        <w:t>的定义、</w:t>
      </w:r>
      <w:r>
        <w:rPr>
          <w:rFonts w:ascii="宋体" w:hAnsi="宋体" w:cs="宋体"/>
          <w:kern w:val="2"/>
          <w:szCs w:val="24"/>
        </w:rPr>
        <w:t>分类以及</w:t>
      </w:r>
      <w:r>
        <w:rPr>
          <w:rFonts w:ascii="宋体" w:hAnsi="宋体" w:cs="宋体" w:hint="eastAsia"/>
          <w:kern w:val="2"/>
          <w:szCs w:val="24"/>
        </w:rPr>
        <w:t>鉴别方法</w:t>
      </w:r>
      <w:r>
        <w:rPr>
          <w:rFonts w:ascii="宋体" w:hAnsi="宋体" w:cs="宋体"/>
          <w:kern w:val="2"/>
          <w:szCs w:val="24"/>
        </w:rPr>
        <w:t>等方面</w:t>
      </w:r>
      <w:r>
        <w:rPr>
          <w:rFonts w:ascii="宋体" w:hAnsi="宋体" w:cs="宋体" w:hint="eastAsia"/>
          <w:kern w:val="2"/>
          <w:szCs w:val="24"/>
        </w:rPr>
        <w:t>内容，为鉴别金属矿山废弃物腐蚀性提供了依据</w:t>
      </w:r>
      <w:r>
        <w:rPr>
          <w:rFonts w:ascii="宋体" w:hAnsi="宋体" w:cs="宋体"/>
          <w:kern w:val="2"/>
          <w:szCs w:val="24"/>
        </w:rPr>
        <w:t>。</w:t>
      </w:r>
    </w:p>
    <w:p w:rsidR="00AB2F55" w:rsidRDefault="00BA6C6A">
      <w:pPr>
        <w:spacing w:line="240" w:lineRule="auto"/>
        <w:ind w:firstLine="480"/>
        <w:rPr>
          <w:rFonts w:ascii="宋体" w:hAnsi="Cambria"/>
          <w:szCs w:val="24"/>
        </w:rPr>
      </w:pPr>
      <w:r>
        <w:rPr>
          <w:rFonts w:ascii="宋体" w:hAnsi="Cambria"/>
          <w:szCs w:val="24"/>
        </w:rPr>
        <w:t>GB 5085.3</w:t>
      </w:r>
      <w:r>
        <w:rPr>
          <w:rFonts w:ascii="宋体" w:hAnsi="Cambria" w:hint="eastAsia"/>
          <w:szCs w:val="24"/>
        </w:rPr>
        <w:t xml:space="preserve">  </w:t>
      </w:r>
      <w:r>
        <w:rPr>
          <w:rFonts w:ascii="宋体" w:hAnsi="Cambria"/>
          <w:szCs w:val="24"/>
        </w:rPr>
        <w:t>危险废物鉴别标准</w:t>
      </w:r>
      <w:r>
        <w:rPr>
          <w:rFonts w:ascii="宋体" w:hAnsi="Cambria"/>
          <w:szCs w:val="24"/>
        </w:rPr>
        <w:t xml:space="preserve"> </w:t>
      </w:r>
      <w:r>
        <w:rPr>
          <w:rFonts w:ascii="宋体" w:hAnsi="Cambria"/>
          <w:szCs w:val="24"/>
        </w:rPr>
        <w:t>浸出毒性鉴别</w:t>
      </w:r>
      <w:r>
        <w:rPr>
          <w:rFonts w:ascii="宋体" w:hAnsi="Cambria" w:hint="eastAsia"/>
          <w:szCs w:val="24"/>
        </w:rPr>
        <w:t>：</w:t>
      </w:r>
      <w:r>
        <w:rPr>
          <w:rFonts w:ascii="宋体" w:hAnsi="Cambria" w:hint="eastAsia"/>
          <w:szCs w:val="24"/>
        </w:rPr>
        <w:t>包括危险废物浸出毒性定义、分类及鉴别方法等内容，为鉴别金属矿山废弃物浸出毒性提供了依据。</w:t>
      </w:r>
    </w:p>
    <w:p w:rsidR="00AB2F55" w:rsidRDefault="00BA6C6A">
      <w:pPr>
        <w:spacing w:line="240" w:lineRule="auto"/>
        <w:ind w:firstLine="480"/>
        <w:rPr>
          <w:rFonts w:ascii="宋体" w:hAnsi="Cambria"/>
          <w:szCs w:val="24"/>
        </w:rPr>
      </w:pPr>
      <w:r>
        <w:rPr>
          <w:rFonts w:ascii="宋体" w:hAnsi="Cambria"/>
          <w:szCs w:val="24"/>
        </w:rPr>
        <w:t>GB 8978</w:t>
      </w:r>
      <w:r>
        <w:rPr>
          <w:rFonts w:ascii="宋体" w:hAnsi="Cambria" w:hint="eastAsia"/>
          <w:szCs w:val="24"/>
        </w:rPr>
        <w:t xml:space="preserve">  </w:t>
      </w:r>
      <w:r>
        <w:rPr>
          <w:rFonts w:ascii="宋体" w:hAnsi="Cambria"/>
          <w:szCs w:val="24"/>
        </w:rPr>
        <w:t>污水综合排放标准：</w:t>
      </w:r>
      <w:r>
        <w:rPr>
          <w:rFonts w:ascii="宋体" w:hAnsi="Cambria"/>
          <w:szCs w:val="24"/>
        </w:rPr>
        <w:t>主要包括废水排放标准、地区污染防治要求、污水排放许可证管理规定、废水排放总量控制要求、控制与追溯要求和排污费用管理等方面</w:t>
      </w:r>
      <w:r>
        <w:rPr>
          <w:rFonts w:ascii="宋体" w:hAnsi="Cambria" w:hint="eastAsia"/>
          <w:szCs w:val="24"/>
        </w:rPr>
        <w:t>内容</w:t>
      </w:r>
      <w:r>
        <w:rPr>
          <w:rFonts w:ascii="宋体" w:hAnsi="Cambria"/>
          <w:szCs w:val="24"/>
        </w:rPr>
        <w:t>。</w:t>
      </w:r>
      <w:r>
        <w:rPr>
          <w:rFonts w:ascii="宋体" w:hAnsi="Cambria" w:hint="eastAsia"/>
          <w:szCs w:val="24"/>
        </w:rPr>
        <w:t>为制定水环境修复治理目标和修复效果评估提供了依据。</w:t>
      </w:r>
    </w:p>
    <w:p w:rsidR="00AB2F55" w:rsidRDefault="00BA6C6A">
      <w:pPr>
        <w:spacing w:line="240" w:lineRule="auto"/>
        <w:ind w:firstLine="480"/>
        <w:rPr>
          <w:rFonts w:ascii="宋体" w:hAnsi="Cambria"/>
          <w:szCs w:val="24"/>
        </w:rPr>
      </w:pPr>
      <w:r>
        <w:rPr>
          <w:rFonts w:ascii="宋体" w:hAnsi="Cambria" w:hint="eastAsia"/>
          <w:szCs w:val="24"/>
        </w:rPr>
        <w:t xml:space="preserve">GB 18599  </w:t>
      </w:r>
      <w:r>
        <w:rPr>
          <w:rFonts w:ascii="宋体" w:hAnsi="Cambria"/>
          <w:szCs w:val="24"/>
        </w:rPr>
        <w:t>一般工业固体废物贮存和填埋污染控制标准：</w:t>
      </w:r>
      <w:r>
        <w:rPr>
          <w:rFonts w:ascii="宋体" w:hAnsi="Cambria"/>
          <w:szCs w:val="24"/>
        </w:rPr>
        <w:t>包括基本要求、污染控制技术要求、填埋后管理、监测和评价等方面，旨在确保工业固体废物处置过程的环境安全和公共安全</w:t>
      </w:r>
      <w:r>
        <w:rPr>
          <w:rFonts w:ascii="宋体" w:hAnsi="Cambria" w:hint="eastAsia"/>
          <w:szCs w:val="24"/>
        </w:rPr>
        <w:t>等内容</w:t>
      </w:r>
      <w:r>
        <w:rPr>
          <w:rFonts w:ascii="宋体" w:hAnsi="Cambria"/>
          <w:szCs w:val="24"/>
        </w:rPr>
        <w:t>。</w:t>
      </w:r>
      <w:r>
        <w:rPr>
          <w:rFonts w:ascii="宋体" w:hAnsi="Cambria" w:hint="eastAsia"/>
          <w:szCs w:val="24"/>
        </w:rPr>
        <w:t>为矿山废弃物修复治理目标的制订和修复效果评估提供了依据。</w:t>
      </w:r>
    </w:p>
    <w:p w:rsidR="00AB2F55" w:rsidRDefault="00BA6C6A">
      <w:pPr>
        <w:spacing w:line="240" w:lineRule="auto"/>
        <w:ind w:firstLine="480"/>
        <w:rPr>
          <w:rFonts w:ascii="宋体" w:hAnsi="Cambria"/>
          <w:szCs w:val="24"/>
        </w:rPr>
      </w:pPr>
      <w:r>
        <w:rPr>
          <w:rFonts w:ascii="宋体" w:hAnsi="Cambria"/>
          <w:szCs w:val="24"/>
        </w:rPr>
        <w:t>HJ/T 20</w:t>
      </w:r>
      <w:r>
        <w:rPr>
          <w:rFonts w:ascii="宋体" w:hAnsi="Cambria" w:hint="eastAsia"/>
          <w:szCs w:val="24"/>
        </w:rPr>
        <w:t xml:space="preserve">  </w:t>
      </w:r>
      <w:r>
        <w:rPr>
          <w:rFonts w:ascii="宋体" w:hAnsi="Cambria"/>
          <w:szCs w:val="24"/>
        </w:rPr>
        <w:t>工业固体废弃物采样制样技术规范：</w:t>
      </w:r>
      <w:r>
        <w:rPr>
          <w:rFonts w:ascii="宋体" w:hAnsi="Cambria"/>
          <w:szCs w:val="24"/>
        </w:rPr>
        <w:t>在</w:t>
      </w:r>
      <w:r>
        <w:rPr>
          <w:rFonts w:ascii="宋体" w:hAnsi="Cambria" w:hint="eastAsia"/>
          <w:szCs w:val="24"/>
        </w:rPr>
        <w:t>金属矿山</w:t>
      </w:r>
      <w:r>
        <w:rPr>
          <w:rFonts w:ascii="宋体" w:hAnsi="Cambria"/>
          <w:szCs w:val="24"/>
        </w:rPr>
        <w:t>固体废弃物采样制样过程中，</w:t>
      </w:r>
      <w:r>
        <w:rPr>
          <w:rFonts w:ascii="宋体" w:hAnsi="Cambria" w:hint="eastAsia"/>
          <w:szCs w:val="24"/>
        </w:rPr>
        <w:t>该标准</w:t>
      </w:r>
      <w:r>
        <w:rPr>
          <w:rFonts w:ascii="宋体" w:hAnsi="Cambria"/>
          <w:szCs w:val="24"/>
        </w:rPr>
        <w:t>对采样制样的具体方法和技术要求做出了规范，以确保采样制样的准确性和可靠性，对于废物处理的各个环节具有重要的意义。</w:t>
      </w:r>
    </w:p>
    <w:p w:rsidR="00AB2F55" w:rsidRDefault="00BA6C6A">
      <w:pPr>
        <w:spacing w:line="240" w:lineRule="auto"/>
        <w:ind w:firstLine="480"/>
        <w:rPr>
          <w:rFonts w:ascii="宋体" w:hAnsi="Cambria"/>
          <w:szCs w:val="24"/>
        </w:rPr>
      </w:pPr>
      <w:r>
        <w:rPr>
          <w:rFonts w:ascii="宋体" w:hAnsi="Cambria"/>
          <w:szCs w:val="24"/>
        </w:rPr>
        <w:t>HJ 25.1</w:t>
      </w:r>
      <w:r>
        <w:rPr>
          <w:rFonts w:ascii="宋体" w:hAnsi="Cambria" w:hint="eastAsia"/>
          <w:szCs w:val="24"/>
        </w:rPr>
        <w:t xml:space="preserve">  </w:t>
      </w:r>
      <w:r>
        <w:rPr>
          <w:rFonts w:ascii="宋体" w:hAnsi="Cambria"/>
          <w:szCs w:val="24"/>
        </w:rPr>
        <w:t>建设用地土壤污染状况调查技术导则：</w:t>
      </w:r>
      <w:r>
        <w:rPr>
          <w:rFonts w:ascii="宋体" w:hAnsi="Cambria"/>
          <w:szCs w:val="24"/>
        </w:rPr>
        <w:t>该导则为</w:t>
      </w:r>
      <w:r>
        <w:rPr>
          <w:rFonts w:ascii="宋体" w:hAnsi="Cambria" w:hint="eastAsia"/>
          <w:szCs w:val="24"/>
        </w:rPr>
        <w:t>矿区污染地块</w:t>
      </w:r>
      <w:r>
        <w:rPr>
          <w:rFonts w:ascii="宋体" w:hAnsi="Cambria"/>
          <w:szCs w:val="24"/>
        </w:rPr>
        <w:t>土壤污染状况调查提供了技术指导，明确了调查的目的、原则、方法、内容和报告要求等方面的规定。</w:t>
      </w:r>
    </w:p>
    <w:p w:rsidR="00AB2F55" w:rsidRDefault="00BA6C6A">
      <w:pPr>
        <w:spacing w:line="240" w:lineRule="auto"/>
        <w:ind w:firstLine="480"/>
        <w:rPr>
          <w:rFonts w:ascii="宋体" w:hAnsi="Cambria"/>
          <w:szCs w:val="24"/>
        </w:rPr>
      </w:pPr>
      <w:r>
        <w:rPr>
          <w:rFonts w:ascii="宋体" w:hAnsi="Cambria"/>
          <w:szCs w:val="24"/>
        </w:rPr>
        <w:t>HJ/T 91</w:t>
      </w:r>
      <w:r>
        <w:rPr>
          <w:rFonts w:ascii="宋体" w:hAnsi="Cambria" w:hint="eastAsia"/>
          <w:szCs w:val="24"/>
        </w:rPr>
        <w:t xml:space="preserve">.1  </w:t>
      </w:r>
      <w:r>
        <w:rPr>
          <w:rFonts w:ascii="宋体" w:hAnsi="Cambria"/>
          <w:szCs w:val="24"/>
        </w:rPr>
        <w:t>污水监测技术规范：</w:t>
      </w:r>
      <w:r>
        <w:rPr>
          <w:rFonts w:ascii="宋体" w:hAnsi="Cambria" w:hint="eastAsia"/>
          <w:szCs w:val="24"/>
        </w:rPr>
        <w:t>该标准</w:t>
      </w:r>
      <w:r>
        <w:rPr>
          <w:rFonts w:ascii="宋体" w:hAnsi="Cambria"/>
          <w:szCs w:val="24"/>
        </w:rPr>
        <w:t>规定了污水监测的技术要求和分析方法，</w:t>
      </w:r>
      <w:r>
        <w:rPr>
          <w:rFonts w:ascii="宋体" w:hAnsi="Cambria"/>
          <w:szCs w:val="24"/>
        </w:rPr>
        <w:t>包括质量保证、采样、制样、分析和计算等方面的规定，为</w:t>
      </w:r>
      <w:r>
        <w:rPr>
          <w:rFonts w:ascii="宋体" w:hAnsi="Cambria" w:hint="eastAsia"/>
          <w:szCs w:val="24"/>
        </w:rPr>
        <w:t>矿山水环境质量管理</w:t>
      </w:r>
      <w:r>
        <w:rPr>
          <w:rFonts w:ascii="宋体" w:hAnsi="Cambria"/>
          <w:szCs w:val="24"/>
        </w:rPr>
        <w:t>提供了基础数据和科学依据。</w:t>
      </w:r>
    </w:p>
    <w:p w:rsidR="00AB2F55" w:rsidRDefault="00BA6C6A">
      <w:pPr>
        <w:spacing w:line="240" w:lineRule="auto"/>
        <w:ind w:firstLine="480"/>
        <w:rPr>
          <w:rFonts w:ascii="宋体" w:hAnsi="Cambria"/>
          <w:szCs w:val="24"/>
        </w:rPr>
      </w:pPr>
      <w:r>
        <w:rPr>
          <w:rFonts w:ascii="宋体" w:hAnsi="Cambria" w:hint="eastAsia"/>
          <w:szCs w:val="24"/>
        </w:rPr>
        <w:t xml:space="preserve">HJ/T 91.2  </w:t>
      </w:r>
      <w:r>
        <w:rPr>
          <w:rFonts w:ascii="宋体" w:hAnsi="Cambria"/>
          <w:szCs w:val="24"/>
        </w:rPr>
        <w:t>地表水环境质量监测技术规范：</w:t>
      </w:r>
      <w:r>
        <w:rPr>
          <w:rFonts w:ascii="宋体" w:hAnsi="Cambria"/>
          <w:szCs w:val="24"/>
        </w:rPr>
        <w:t>标准规范了地表水环境质量监测的技术要求和分析方法，包括监测质量保证、采样、制备、分析和计算等方面的内容。为保护</w:t>
      </w:r>
      <w:r>
        <w:rPr>
          <w:rFonts w:ascii="宋体" w:hAnsi="Cambria" w:hint="eastAsia"/>
          <w:szCs w:val="24"/>
        </w:rPr>
        <w:t>金属矿山</w:t>
      </w:r>
      <w:r>
        <w:rPr>
          <w:rFonts w:ascii="宋体" w:hAnsi="Cambria"/>
          <w:szCs w:val="24"/>
        </w:rPr>
        <w:t>地表水环境、评估水环境质量和合理利用水资源提供了科学依据。</w:t>
      </w:r>
    </w:p>
    <w:p w:rsidR="00AB2F55" w:rsidRDefault="00BA6C6A">
      <w:pPr>
        <w:spacing w:line="240" w:lineRule="auto"/>
        <w:ind w:firstLine="480"/>
        <w:rPr>
          <w:rFonts w:ascii="宋体" w:hAnsi="Cambria"/>
          <w:szCs w:val="24"/>
        </w:rPr>
      </w:pPr>
      <w:r>
        <w:rPr>
          <w:rFonts w:ascii="宋体" w:hAnsi="Cambria"/>
          <w:szCs w:val="24"/>
        </w:rPr>
        <w:t>HJ/T 16</w:t>
      </w:r>
      <w:r>
        <w:rPr>
          <w:rFonts w:ascii="宋体" w:hAnsi="Cambria" w:hint="eastAsia"/>
          <w:szCs w:val="24"/>
        </w:rPr>
        <w:t xml:space="preserve">6  </w:t>
      </w:r>
      <w:r>
        <w:rPr>
          <w:rFonts w:ascii="宋体" w:hAnsi="Cambria"/>
          <w:szCs w:val="24"/>
        </w:rPr>
        <w:t>土壤环境监测技术规范</w:t>
      </w:r>
      <w:r>
        <w:rPr>
          <w:rFonts w:ascii="宋体" w:hAnsi="Cambria" w:hint="eastAsia"/>
          <w:szCs w:val="24"/>
        </w:rPr>
        <w:t>：</w:t>
      </w:r>
      <w:r>
        <w:rPr>
          <w:rFonts w:ascii="宋体" w:hAnsi="Cambria" w:hint="eastAsia"/>
          <w:szCs w:val="24"/>
        </w:rPr>
        <w:t>标准规范了土壤环境监测的技术要求和实施方法，包括监测内容和指标、监测设备、采样方案、样品制备和保存、分析方法、计算和结果评价等。该标准为</w:t>
      </w:r>
      <w:r>
        <w:rPr>
          <w:rFonts w:ascii="宋体" w:hAnsi="Cambria" w:hint="eastAsia"/>
          <w:szCs w:val="24"/>
        </w:rPr>
        <w:t>金属矿山及周边</w:t>
      </w:r>
      <w:r>
        <w:rPr>
          <w:rFonts w:ascii="宋体" w:hAnsi="Cambria" w:hint="eastAsia"/>
          <w:szCs w:val="24"/>
        </w:rPr>
        <w:t>土壤环境保护和土壤资源合理利用提供了科学依据和基础数据。</w:t>
      </w:r>
    </w:p>
    <w:p w:rsidR="00AB2F55" w:rsidRDefault="00BA6C6A">
      <w:pPr>
        <w:spacing w:line="240" w:lineRule="auto"/>
        <w:ind w:firstLine="480"/>
        <w:rPr>
          <w:rFonts w:ascii="宋体" w:hAnsi="Cambria"/>
          <w:szCs w:val="24"/>
        </w:rPr>
      </w:pPr>
      <w:r>
        <w:rPr>
          <w:rFonts w:ascii="宋体" w:hAnsi="Cambria"/>
          <w:szCs w:val="24"/>
        </w:rPr>
        <w:t>HJ 557</w:t>
      </w:r>
      <w:r>
        <w:rPr>
          <w:rFonts w:ascii="宋体" w:hAnsi="Cambria" w:hint="eastAsia"/>
          <w:szCs w:val="24"/>
        </w:rPr>
        <w:t xml:space="preserve">  </w:t>
      </w:r>
      <w:r>
        <w:rPr>
          <w:rFonts w:ascii="宋体" w:hAnsi="Cambria"/>
          <w:szCs w:val="24"/>
        </w:rPr>
        <w:t>固体废物浸出毒性浸出方法</w:t>
      </w:r>
      <w:r>
        <w:rPr>
          <w:rFonts w:ascii="宋体" w:hAnsi="Cambria"/>
          <w:szCs w:val="24"/>
        </w:rPr>
        <w:t xml:space="preserve"> </w:t>
      </w:r>
      <w:r>
        <w:rPr>
          <w:rFonts w:ascii="宋体" w:hAnsi="Cambria"/>
          <w:szCs w:val="24"/>
        </w:rPr>
        <w:t>水平振荡法：</w:t>
      </w:r>
      <w:r>
        <w:rPr>
          <w:rFonts w:ascii="宋体" w:hAnsi="Cambria"/>
          <w:szCs w:val="24"/>
        </w:rPr>
        <w:t>标准规定了用水平振荡法测定固体废物浸出液中化学物质的毒性的试验方法，包括适用范围、试验原理、试验步骤和结果计算和评价等方面的内容。</w:t>
      </w:r>
    </w:p>
    <w:p w:rsidR="00AB2F55" w:rsidRDefault="00BA6C6A">
      <w:pPr>
        <w:spacing w:line="240" w:lineRule="auto"/>
        <w:ind w:firstLine="480"/>
        <w:rPr>
          <w:rFonts w:ascii="宋体" w:hAnsi="Cambria"/>
          <w:szCs w:val="24"/>
        </w:rPr>
      </w:pPr>
      <w:r>
        <w:rPr>
          <w:rFonts w:ascii="宋体" w:hAnsi="Cambria"/>
          <w:szCs w:val="24"/>
        </w:rPr>
        <w:t>NY</w:t>
      </w:r>
      <w:r>
        <w:rPr>
          <w:rFonts w:ascii="宋体" w:hAnsi="Cambria" w:hint="eastAsia"/>
          <w:szCs w:val="24"/>
        </w:rPr>
        <w:t>/</w:t>
      </w:r>
      <w:r>
        <w:rPr>
          <w:rFonts w:ascii="宋体" w:hAnsi="Cambria"/>
          <w:szCs w:val="24"/>
        </w:rPr>
        <w:t>T</w:t>
      </w:r>
      <w:r>
        <w:rPr>
          <w:rFonts w:ascii="宋体" w:hAnsi="Cambria" w:hint="eastAsia"/>
          <w:szCs w:val="24"/>
        </w:rPr>
        <w:t xml:space="preserve"> </w:t>
      </w:r>
      <w:r>
        <w:rPr>
          <w:rFonts w:ascii="宋体" w:hAnsi="Cambria"/>
          <w:szCs w:val="24"/>
        </w:rPr>
        <w:t>395</w:t>
      </w:r>
      <w:r>
        <w:rPr>
          <w:rFonts w:ascii="宋体" w:hAnsi="Cambria" w:hint="eastAsia"/>
          <w:szCs w:val="24"/>
        </w:rPr>
        <w:t xml:space="preserve">  </w:t>
      </w:r>
      <w:r>
        <w:rPr>
          <w:rFonts w:ascii="宋体" w:hAnsi="Cambria"/>
          <w:szCs w:val="24"/>
        </w:rPr>
        <w:t>农田土壤环境质量监测技术规范：</w:t>
      </w:r>
      <w:r>
        <w:rPr>
          <w:rFonts w:ascii="宋体" w:hAnsi="Cambria"/>
          <w:szCs w:val="24"/>
        </w:rPr>
        <w:t>标准规范了农田土壤环境质量监测的技术要求和实施方法，包括监测指标、监测设备和方法、采样方案、样品处理和保存、分析方法和结果评价等方面的内容。该标准为</w:t>
      </w:r>
      <w:r>
        <w:rPr>
          <w:rFonts w:ascii="宋体" w:hAnsi="Cambria" w:hint="eastAsia"/>
          <w:szCs w:val="24"/>
        </w:rPr>
        <w:t>矿山周边</w:t>
      </w:r>
      <w:r>
        <w:rPr>
          <w:rFonts w:ascii="宋体" w:hAnsi="Cambria"/>
          <w:szCs w:val="24"/>
        </w:rPr>
        <w:t>农田土壤环境监测提供了科学依据。</w:t>
      </w:r>
    </w:p>
    <w:p w:rsidR="00AB2F55" w:rsidRDefault="00BA6C6A">
      <w:pPr>
        <w:spacing w:line="240" w:lineRule="auto"/>
        <w:ind w:firstLine="480"/>
        <w:rPr>
          <w:rFonts w:ascii="宋体" w:hAnsi="Cambria"/>
          <w:szCs w:val="24"/>
        </w:rPr>
      </w:pPr>
      <w:r>
        <w:rPr>
          <w:rFonts w:ascii="宋体" w:hAnsi="Cambria"/>
          <w:szCs w:val="24"/>
        </w:rPr>
        <w:t>环境保护部公告</w:t>
      </w:r>
      <w:r>
        <w:rPr>
          <w:rFonts w:ascii="宋体" w:hAnsi="Cambria"/>
          <w:szCs w:val="24"/>
        </w:rPr>
        <w:t xml:space="preserve"> </w:t>
      </w:r>
      <w:r>
        <w:rPr>
          <w:rFonts w:ascii="宋体" w:hAnsi="Cambria"/>
          <w:szCs w:val="24"/>
        </w:rPr>
        <w:t>第</w:t>
      </w:r>
      <w:r>
        <w:rPr>
          <w:rFonts w:ascii="宋体" w:hAnsi="Cambria"/>
          <w:szCs w:val="24"/>
        </w:rPr>
        <w:t>72</w:t>
      </w:r>
      <w:r>
        <w:rPr>
          <w:rFonts w:ascii="宋体" w:hAnsi="Cambria"/>
          <w:szCs w:val="24"/>
        </w:rPr>
        <w:t>号</w:t>
      </w:r>
      <w:r>
        <w:rPr>
          <w:rFonts w:ascii="宋体" w:hAnsi="Cambria"/>
          <w:szCs w:val="24"/>
        </w:rPr>
        <w:tab/>
      </w:r>
      <w:r>
        <w:rPr>
          <w:rFonts w:ascii="宋体" w:hAnsi="Cambria"/>
          <w:szCs w:val="24"/>
        </w:rPr>
        <w:t>建设用地土壤环境调查评估技术指南：</w:t>
      </w:r>
      <w:r>
        <w:rPr>
          <w:rFonts w:ascii="宋体" w:hAnsi="Cambria"/>
          <w:szCs w:val="24"/>
        </w:rPr>
        <w:t>该指南规范</w:t>
      </w:r>
      <w:r>
        <w:rPr>
          <w:rFonts w:ascii="宋体" w:hAnsi="Cambria"/>
          <w:szCs w:val="24"/>
        </w:rPr>
        <w:t>了</w:t>
      </w:r>
      <w:r>
        <w:rPr>
          <w:rFonts w:ascii="宋体" w:hAnsi="Cambria"/>
          <w:szCs w:val="24"/>
        </w:rPr>
        <w:t>建设用地土壤污染调查和风险评估的技术要求和实施方法，</w:t>
      </w:r>
      <w:r>
        <w:rPr>
          <w:rFonts w:ascii="宋体" w:hAnsi="Cambria"/>
          <w:szCs w:val="24"/>
        </w:rPr>
        <w:t>为矿区土壤环境调查与评估提供了技术指导。</w:t>
      </w:r>
    </w:p>
    <w:p w:rsidR="00AB2F55" w:rsidRDefault="00BA6C6A">
      <w:pPr>
        <w:ind w:firstLine="480"/>
        <w:rPr>
          <w:rFonts w:ascii="宋体" w:hAnsi="Cambria"/>
          <w:szCs w:val="24"/>
        </w:rPr>
      </w:pPr>
      <w:r>
        <w:rPr>
          <w:rFonts w:ascii="宋体" w:hAnsi="Cambria"/>
          <w:szCs w:val="24"/>
        </w:rPr>
        <w:t xml:space="preserve">GB 15618 </w:t>
      </w:r>
      <w:r>
        <w:rPr>
          <w:rFonts w:ascii="宋体" w:hAnsi="Cambria"/>
          <w:szCs w:val="24"/>
        </w:rPr>
        <w:t>土壤环境质量</w:t>
      </w:r>
      <w:r>
        <w:rPr>
          <w:rFonts w:ascii="宋体" w:hAnsi="Cambria" w:hint="eastAsia"/>
          <w:szCs w:val="24"/>
        </w:rPr>
        <w:t xml:space="preserve"> </w:t>
      </w:r>
      <w:r>
        <w:rPr>
          <w:rFonts w:ascii="宋体" w:hAnsi="Cambria"/>
          <w:szCs w:val="24"/>
        </w:rPr>
        <w:t>农用地土壤污染风险管控标准</w:t>
      </w:r>
      <w:r>
        <w:rPr>
          <w:rFonts w:ascii="宋体" w:hAnsi="Cambria"/>
          <w:szCs w:val="24"/>
        </w:rPr>
        <w:t>：该标准主要包括</w:t>
      </w:r>
      <w:r>
        <w:rPr>
          <w:rFonts w:ascii="宋体" w:hAnsi="Cambria"/>
          <w:szCs w:val="24"/>
        </w:rPr>
        <w:t>农用地土壤污染管控原则和方法</w:t>
      </w:r>
      <w:r>
        <w:rPr>
          <w:rFonts w:ascii="宋体" w:hAnsi="Cambria" w:hint="eastAsia"/>
          <w:szCs w:val="24"/>
        </w:rPr>
        <w:t>、</w:t>
      </w:r>
      <w:r>
        <w:rPr>
          <w:rFonts w:ascii="宋体" w:hAnsi="Cambria"/>
          <w:szCs w:val="24"/>
        </w:rPr>
        <w:t>农用地土壤污染物监测和评价标准</w:t>
      </w:r>
      <w:r>
        <w:rPr>
          <w:rFonts w:ascii="宋体" w:hAnsi="Cambria" w:hint="eastAsia"/>
          <w:szCs w:val="24"/>
        </w:rPr>
        <w:t>、</w:t>
      </w:r>
      <w:r>
        <w:rPr>
          <w:rFonts w:ascii="宋体" w:hAnsi="Cambria"/>
          <w:szCs w:val="24"/>
        </w:rPr>
        <w:t>风险评估和管控</w:t>
      </w:r>
      <w:r>
        <w:rPr>
          <w:rFonts w:ascii="宋体" w:hAnsi="Cambria" w:hint="eastAsia"/>
          <w:szCs w:val="24"/>
        </w:rPr>
        <w:t>等内</w:t>
      </w:r>
      <w:r>
        <w:rPr>
          <w:rFonts w:ascii="宋体" w:hAnsi="Cambria"/>
          <w:szCs w:val="24"/>
        </w:rPr>
        <w:t>容，为科学制定土壤污染风险管控目标和修复效果评价提供了依据。</w:t>
      </w:r>
    </w:p>
    <w:p w:rsidR="00AB2F55" w:rsidRDefault="00BA6C6A">
      <w:pPr>
        <w:pBdr>
          <w:bottom w:val="single" w:sz="4" w:space="12" w:color="DEDEDE"/>
        </w:pBdr>
        <w:shd w:val="clear" w:color="auto" w:fill="FFFFFF"/>
        <w:spacing w:after="456" w:line="14" w:lineRule="atLeast"/>
        <w:ind w:firstLine="480"/>
        <w:jc w:val="center"/>
        <w:rPr>
          <w:rFonts w:ascii="宋体" w:hAnsi="Cambria"/>
          <w:szCs w:val="24"/>
        </w:rPr>
      </w:pPr>
      <w:r>
        <w:rPr>
          <w:rFonts w:ascii="宋体" w:hAnsi="Cambria"/>
          <w:szCs w:val="24"/>
        </w:rPr>
        <w:t xml:space="preserve">GB 36600 </w:t>
      </w:r>
      <w:r>
        <w:rPr>
          <w:rFonts w:ascii="宋体" w:hAnsi="Cambria"/>
          <w:szCs w:val="24"/>
        </w:rPr>
        <w:t>土壤环境质量</w:t>
      </w:r>
      <w:r>
        <w:rPr>
          <w:rFonts w:ascii="宋体" w:hAnsi="Cambria"/>
          <w:szCs w:val="24"/>
        </w:rPr>
        <w:t xml:space="preserve"> </w:t>
      </w:r>
      <w:r>
        <w:rPr>
          <w:rFonts w:ascii="宋体" w:hAnsi="Cambria"/>
          <w:szCs w:val="24"/>
        </w:rPr>
        <w:t>建设用地土壤污染风险管控标准</w:t>
      </w:r>
      <w:r>
        <w:rPr>
          <w:rFonts w:ascii="宋体" w:hAnsi="Cambria" w:hint="eastAsia"/>
          <w:szCs w:val="24"/>
        </w:rPr>
        <w:t>：该标准主要包括建设用地土壤污染管控原则和方法、土壤污染物监测和评价标准、风险评估和管控等内容，为科学制定金属矿区污染地块土壤污染风险管控目标和修复效果评价提供了依据。</w:t>
      </w:r>
    </w:p>
    <w:p w:rsidR="00AB2F55" w:rsidRDefault="00BA6C6A">
      <w:pPr>
        <w:pStyle w:val="3"/>
        <w:ind w:firstLine="482"/>
      </w:pPr>
      <w:bookmarkStart w:id="52" w:name="_Toc25982"/>
      <w:bookmarkStart w:id="53" w:name="_Toc25360"/>
      <w:bookmarkStart w:id="54" w:name="_Toc17368"/>
      <w:r>
        <w:rPr>
          <w:rFonts w:hint="eastAsia"/>
        </w:rPr>
        <w:t xml:space="preserve">2.3.3 </w:t>
      </w:r>
      <w:r>
        <w:t>术语和定义</w:t>
      </w:r>
      <w:bookmarkEnd w:id="52"/>
      <w:bookmarkEnd w:id="53"/>
      <w:bookmarkEnd w:id="54"/>
    </w:p>
    <w:p w:rsidR="00AB2F55" w:rsidRDefault="00BA6C6A">
      <w:pPr>
        <w:ind w:firstLine="480"/>
        <w:rPr>
          <w:rFonts w:ascii="宋体" w:hAnsi="宋体" w:cs="宋体"/>
          <w:szCs w:val="24"/>
        </w:rPr>
      </w:pPr>
      <w:r>
        <w:t>结合指南主要内容的需要，</w:t>
      </w:r>
      <w:r>
        <w:rPr>
          <w:rFonts w:hint="eastAsia"/>
        </w:rPr>
        <w:t>本标准</w:t>
      </w:r>
      <w:r>
        <w:t>术语和定义中</w:t>
      </w:r>
      <w:r>
        <w:rPr>
          <w:rFonts w:hint="eastAsia"/>
        </w:rPr>
        <w:t>纳入了</w:t>
      </w:r>
      <w:r>
        <w:rPr>
          <w:rFonts w:hint="eastAsia"/>
        </w:rPr>
        <w:t>“</w:t>
      </w:r>
      <w:r>
        <w:t>高浸出风险污染土壤</w:t>
      </w:r>
      <w:r>
        <w:rPr>
          <w:rFonts w:hint="eastAsia"/>
        </w:rPr>
        <w:t>”</w:t>
      </w:r>
      <w:r>
        <w:t>和</w:t>
      </w:r>
      <w:r>
        <w:rPr>
          <w:rFonts w:hint="eastAsia"/>
        </w:rPr>
        <w:t>“</w:t>
      </w:r>
      <w:r>
        <w:t>低浸出风险污染土壤</w:t>
      </w:r>
      <w:r>
        <w:rPr>
          <w:rFonts w:hint="eastAsia"/>
        </w:rPr>
        <w:t>”</w:t>
      </w:r>
      <w:r>
        <w:t>。主要是根据土壤中的重金属污染特征，参考《一般工业固体废物贮存、处置场污染控制标准》中</w:t>
      </w:r>
      <w:r>
        <w:rPr>
          <w:rFonts w:hint="eastAsia"/>
        </w:rPr>
        <w:t>“</w:t>
      </w:r>
      <w:r>
        <w:t>第</w:t>
      </w:r>
      <w:r>
        <w:t>I</w:t>
      </w:r>
      <w:r>
        <w:t>类、</w:t>
      </w:r>
      <w:r>
        <w:t>II</w:t>
      </w:r>
      <w:r>
        <w:t>类一般工业固体废物</w:t>
      </w:r>
      <w:r>
        <w:rPr>
          <w:rFonts w:hint="eastAsia"/>
        </w:rPr>
        <w:t>”</w:t>
      </w:r>
      <w:r>
        <w:t>定义，锑参照</w:t>
      </w:r>
      <w:r>
        <w:t xml:space="preserve">GB </w:t>
      </w:r>
      <w:r>
        <w:t>30770</w:t>
      </w:r>
      <w:r>
        <w:t>，同时参考水体生态风险评估风险控制计算值，将污染土壤浸出风险分级为低风险和高风险，为不同风险污染土壤分类处置提供数据支撑</w:t>
      </w:r>
      <w:r>
        <w:rPr>
          <w:rFonts w:hint="eastAsia"/>
        </w:rPr>
        <w:t>。</w:t>
      </w:r>
      <w:r>
        <w:rPr>
          <w:rFonts w:ascii="宋体" w:hAnsi="宋体" w:cs="宋体"/>
          <w:szCs w:val="24"/>
        </w:rPr>
        <w:t>标准涉及的其他相关术语和定义，因在其他相关的国家、行业标准规范中已有定义，固本标准中不再赘述</w:t>
      </w:r>
      <w:r>
        <w:rPr>
          <w:rFonts w:ascii="宋体" w:hAnsi="宋体" w:cs="宋体" w:hint="eastAsia"/>
          <w:szCs w:val="24"/>
        </w:rPr>
        <w:t>。</w:t>
      </w:r>
    </w:p>
    <w:p w:rsidR="00AB2F55" w:rsidRDefault="00BA6C6A">
      <w:pPr>
        <w:pStyle w:val="3"/>
        <w:ind w:firstLine="482"/>
      </w:pPr>
      <w:bookmarkStart w:id="55" w:name="_Toc7657"/>
      <w:bookmarkStart w:id="56" w:name="_Toc14857"/>
      <w:bookmarkStart w:id="57" w:name="_Toc18049"/>
      <w:r>
        <w:rPr>
          <w:rFonts w:hint="eastAsia"/>
        </w:rPr>
        <w:t xml:space="preserve">2.3.4 </w:t>
      </w:r>
      <w:r>
        <w:t>工作流程</w:t>
      </w:r>
      <w:bookmarkEnd w:id="55"/>
      <w:bookmarkEnd w:id="56"/>
      <w:bookmarkEnd w:id="57"/>
    </w:p>
    <w:p w:rsidR="00AB2F55" w:rsidRDefault="00BA6C6A">
      <w:pPr>
        <w:ind w:firstLine="480"/>
      </w:pPr>
      <w:r>
        <w:t>本章节结合《污染地块风险管控与土壤修复效果评估技术导则》（</w:t>
      </w:r>
      <w:r>
        <w:t>HJ 25.5-201</w:t>
      </w:r>
      <w:r>
        <w:rPr>
          <w:rFonts w:hint="eastAsia"/>
        </w:rPr>
        <w:t>8</w:t>
      </w:r>
      <w:r>
        <w:rPr>
          <w:rFonts w:hint="eastAsia"/>
        </w:rPr>
        <w:t>）</w:t>
      </w:r>
      <w:r>
        <w:t>要求和国家土壤污染治理与修复技术应用试点项目实施经验，</w:t>
      </w:r>
      <w:r>
        <w:rPr>
          <w:rFonts w:hint="eastAsia"/>
        </w:rPr>
        <w:t>制定了《岩溶山地区金属矿区土壤污染风险管控与修复技术规范》工作流程。主要包括污染识别、矿区分别、矿区分级、矿区技术体系四个阶</w:t>
      </w:r>
      <w:r>
        <w:rPr>
          <w:rFonts w:hint="eastAsia"/>
        </w:rPr>
        <w:t>段。</w:t>
      </w:r>
    </w:p>
    <w:p w:rsidR="00AB2F55" w:rsidRDefault="00AB2F55">
      <w:pPr>
        <w:pStyle w:val="Style1"/>
        <w:ind w:right="19" w:firstLine="0"/>
        <w:rPr>
          <w:rFonts w:ascii="宋体" w:eastAsia="宋体" w:cs="宋体"/>
          <w:sz w:val="24"/>
          <w:szCs w:val="24"/>
        </w:rPr>
      </w:pPr>
    </w:p>
    <w:p w:rsidR="00AB2F55" w:rsidRDefault="00BA6C6A">
      <w:pPr>
        <w:pStyle w:val="3"/>
        <w:ind w:firstLine="482"/>
      </w:pPr>
      <w:bookmarkStart w:id="58" w:name="_Toc320"/>
      <w:bookmarkStart w:id="59" w:name="_Toc26032"/>
      <w:bookmarkStart w:id="60" w:name="_Toc28339"/>
      <w:r>
        <w:rPr>
          <w:rFonts w:hint="eastAsia"/>
        </w:rPr>
        <w:t xml:space="preserve">2.3.5 </w:t>
      </w:r>
      <w:r>
        <w:rPr>
          <w:rFonts w:hint="eastAsia"/>
        </w:rPr>
        <w:t>矿区</w:t>
      </w:r>
      <w:r>
        <w:t>环境调</w:t>
      </w:r>
      <w:r>
        <w:rPr>
          <w:rFonts w:hint="eastAsia"/>
        </w:rPr>
        <w:t>查</w:t>
      </w:r>
      <w:bookmarkEnd w:id="58"/>
      <w:bookmarkEnd w:id="59"/>
      <w:bookmarkEnd w:id="60"/>
    </w:p>
    <w:p w:rsidR="00AB2F55" w:rsidRDefault="00BA6C6A">
      <w:pPr>
        <w:ind w:firstLine="480"/>
        <w:rPr>
          <w:rFonts w:ascii="宋体" w:hAnsi="宋体" w:cs="宋体"/>
          <w:color w:val="FF0000"/>
          <w:szCs w:val="24"/>
        </w:rPr>
      </w:pPr>
      <w:r>
        <w:t>本章节具体给出了</w:t>
      </w:r>
      <w:r>
        <w:rPr>
          <w:rFonts w:hint="eastAsia"/>
        </w:rPr>
        <w:t>岩溶山地区金属矿区</w:t>
      </w:r>
      <w:r>
        <w:rPr>
          <w:rFonts w:hint="eastAsia"/>
        </w:rPr>
        <w:t>周边污染</w:t>
      </w:r>
      <w:r>
        <w:t>地块开展</w:t>
      </w:r>
      <w:r>
        <w:rPr>
          <w:rFonts w:hint="eastAsia"/>
        </w:rPr>
        <w:t>“</w:t>
      </w:r>
      <w:r>
        <w:t>环境调查</w:t>
      </w:r>
      <w:r>
        <w:rPr>
          <w:rFonts w:hint="eastAsia"/>
        </w:rPr>
        <w:t>”</w:t>
      </w:r>
      <w:r>
        <w:t>工作的要求，重点对污染源、污染物迁移途径和污染受体开展采样调查。同时对监测点布设、</w:t>
      </w:r>
      <w:r>
        <w:rPr>
          <w:color w:val="auto"/>
        </w:rPr>
        <w:t>样品采集及其他过程进行了说明。</w:t>
      </w:r>
    </w:p>
    <w:p w:rsidR="00AB2F55" w:rsidRDefault="00BA6C6A">
      <w:pPr>
        <w:pStyle w:val="3"/>
        <w:ind w:firstLine="482"/>
        <w:rPr>
          <w:color w:val="auto"/>
        </w:rPr>
      </w:pPr>
      <w:bookmarkStart w:id="61" w:name="_Toc32549"/>
      <w:bookmarkStart w:id="62" w:name="_Toc375"/>
      <w:bookmarkStart w:id="63" w:name="_Toc10888"/>
      <w:r>
        <w:rPr>
          <w:rFonts w:hint="eastAsia"/>
          <w:color w:val="auto"/>
        </w:rPr>
        <w:t xml:space="preserve">2.3.6 </w:t>
      </w:r>
      <w:r>
        <w:rPr>
          <w:color w:val="auto"/>
        </w:rPr>
        <w:t>风险评估</w:t>
      </w:r>
      <w:bookmarkEnd w:id="61"/>
      <w:bookmarkEnd w:id="62"/>
      <w:bookmarkEnd w:id="63"/>
    </w:p>
    <w:p w:rsidR="00AB2F55" w:rsidRDefault="00AB2F55">
      <w:pPr>
        <w:pStyle w:val="Style1"/>
        <w:ind w:right="19" w:firstLine="0"/>
        <w:rPr>
          <w:rFonts w:ascii="宋体" w:eastAsia="宋体" w:cs="宋体"/>
          <w:color w:val="FF0000"/>
          <w:sz w:val="24"/>
          <w:szCs w:val="24"/>
        </w:rPr>
      </w:pPr>
    </w:p>
    <w:p w:rsidR="00AB2F55" w:rsidRDefault="00BA6C6A">
      <w:pPr>
        <w:ind w:firstLine="480"/>
      </w:pPr>
      <w:r>
        <w:rPr>
          <w:color w:val="auto"/>
        </w:rPr>
        <w:t>本章节</w:t>
      </w:r>
      <w:r>
        <w:rPr>
          <w:rFonts w:hint="eastAsia"/>
          <w:color w:val="auto"/>
        </w:rPr>
        <w:t>介绍岩溶山地区金属矿区周边土壤的分区分级风险评估。</w:t>
      </w:r>
      <w:r>
        <w:rPr>
          <w:rFonts w:hAnsi="宋体" w:hint="eastAsia"/>
          <w:color w:val="auto"/>
        </w:rPr>
        <w:t>土壤、农作物、水体、固体废弃物质量评价标准执行国内现行标准</w:t>
      </w:r>
      <w:r>
        <w:rPr>
          <w:rFonts w:hAnsi="宋体" w:hint="eastAsia"/>
          <w:color w:val="auto"/>
        </w:rPr>
        <w:t>，</w:t>
      </w:r>
      <w:r>
        <w:rPr>
          <w:rFonts w:hAnsi="宋体" w:hint="eastAsia"/>
          <w:color w:val="auto"/>
        </w:rPr>
        <w:t>给出了</w:t>
      </w:r>
      <w:bookmarkStart w:id="64" w:name="_Toc129303115"/>
      <w:r>
        <w:rPr>
          <w:rFonts w:hAnsi="宋体" w:hint="eastAsia"/>
          <w:color w:val="auto"/>
        </w:rPr>
        <w:t>矿区环境风险级别判定</w:t>
      </w:r>
      <w:bookmarkEnd w:id="64"/>
      <w:r>
        <w:rPr>
          <w:rFonts w:hAnsi="宋体" w:hint="eastAsia"/>
          <w:color w:val="auto"/>
        </w:rPr>
        <w:t>方法、风险等级划分和整体风险等级划分方法。</w:t>
      </w:r>
    </w:p>
    <w:p w:rsidR="00AB2F55" w:rsidRDefault="00BA6C6A">
      <w:pPr>
        <w:pStyle w:val="3"/>
        <w:ind w:firstLine="482"/>
      </w:pPr>
      <w:bookmarkStart w:id="65" w:name="_Toc25770"/>
      <w:bookmarkStart w:id="66" w:name="_Toc157"/>
      <w:bookmarkStart w:id="67" w:name="_Toc19195"/>
      <w:r>
        <w:rPr>
          <w:rFonts w:hint="eastAsia"/>
        </w:rPr>
        <w:t xml:space="preserve">2.3.7 </w:t>
      </w:r>
      <w:r>
        <w:t>风险管控</w:t>
      </w:r>
      <w:r>
        <w:rPr>
          <w:rFonts w:hint="eastAsia"/>
        </w:rPr>
        <w:t>和修复</w:t>
      </w:r>
      <w:bookmarkEnd w:id="65"/>
      <w:bookmarkEnd w:id="66"/>
      <w:bookmarkEnd w:id="67"/>
    </w:p>
    <w:p w:rsidR="00AB2F55" w:rsidRDefault="00BA6C6A">
      <w:pPr>
        <w:ind w:firstLine="480"/>
      </w:pPr>
      <w:r>
        <w:rPr>
          <w:rFonts w:hint="eastAsia"/>
        </w:rPr>
        <w:t>结合《污染地块风险管控与土壤修复效果评估技术导则》（</w:t>
      </w:r>
      <w:r>
        <w:rPr>
          <w:rFonts w:hint="eastAsia"/>
        </w:rPr>
        <w:t xml:space="preserve">HJ </w:t>
      </w:r>
      <w:r>
        <w:rPr>
          <w:rFonts w:hint="eastAsia"/>
        </w:rPr>
        <w:t>25.5-2018</w:t>
      </w:r>
      <w:r>
        <w:rPr>
          <w:rFonts w:hint="eastAsia"/>
        </w:rPr>
        <w:t>）与国家土壤污染治理与修复技术应用试点项目实施经验，经技术经济性、可行性及可操作性综合比选，基于污染土壤浸出浓度，该章节明确了风险管控路线。通过分析实施后的风险程度和风险因子，将高风险地块逐级转化为中、低风险地块。</w:t>
      </w:r>
    </w:p>
    <w:p w:rsidR="00AB2F55" w:rsidRDefault="00BA6C6A">
      <w:pPr>
        <w:pStyle w:val="3"/>
        <w:ind w:firstLine="482"/>
      </w:pPr>
      <w:bookmarkStart w:id="68" w:name="_Toc20908"/>
      <w:bookmarkStart w:id="69" w:name="_Toc16296"/>
      <w:bookmarkStart w:id="70" w:name="_Toc23103"/>
      <w:r>
        <w:rPr>
          <w:rFonts w:hint="eastAsia"/>
        </w:rPr>
        <w:t xml:space="preserve">2.3.8 </w:t>
      </w:r>
      <w:r>
        <w:rPr>
          <w:rFonts w:hint="eastAsia"/>
        </w:rPr>
        <w:t>长期监测与综合管理</w:t>
      </w:r>
      <w:bookmarkEnd w:id="68"/>
      <w:bookmarkEnd w:id="69"/>
      <w:bookmarkEnd w:id="70"/>
    </w:p>
    <w:p w:rsidR="00AB2F55" w:rsidRDefault="00BA6C6A">
      <w:pPr>
        <w:ind w:firstLine="480"/>
      </w:pPr>
      <w:r>
        <w:rPr>
          <w:rFonts w:hint="eastAsia"/>
        </w:rPr>
        <w:t>长期监测与综合管理主要由基本原则、目标、系统设计思路和长期监测与综合管理内容几个方面。长期监测与综合管理的目标以管控和修复效果为核心，以实时的过程数据为支撑，建立可评估、可追溯的智慧管控平台及考核评估体系，支撑项目的过程监管、考核评估与综合管理。</w:t>
      </w:r>
      <w:r>
        <w:rPr>
          <w:rFonts w:hint="eastAsia"/>
        </w:rPr>
        <w:t>在项目实施阶段，对监测数据进行采集、存储、对比与分析，实现土壤管控和修复全过程监控，评估是否达到预期效果。在运营维护阶段，充分发挥智慧监控平台在科学决策、信息发布与管控等方面作用，实现工程措施与非工程措施的“动态感知”相结合，实现项目预期效果与考核目标“对标管理”。设计思路分别包括：</w:t>
      </w:r>
    </w:p>
    <w:p w:rsidR="00AB2F55" w:rsidRDefault="00BA6C6A">
      <w:pPr>
        <w:ind w:firstLine="480"/>
      </w:pPr>
      <w:r>
        <w:rPr>
          <w:rFonts w:hint="eastAsia"/>
        </w:rPr>
        <w:t>（</w:t>
      </w:r>
      <w:r>
        <w:rPr>
          <w:rFonts w:hint="eastAsia"/>
        </w:rPr>
        <w:t>1</w:t>
      </w:r>
      <w:r>
        <w:rPr>
          <w:rFonts w:hint="eastAsia"/>
        </w:rPr>
        <w:t>）</w:t>
      </w:r>
      <w:r>
        <w:rPr>
          <w:rFonts w:hint="eastAsia"/>
        </w:rPr>
        <w:t>构建一体化在线监测网络</w:t>
      </w:r>
    </w:p>
    <w:p w:rsidR="00AB2F55" w:rsidRDefault="00BA6C6A">
      <w:pPr>
        <w:ind w:firstLine="480"/>
      </w:pPr>
      <w:r>
        <w:rPr>
          <w:rFonts w:hint="eastAsia"/>
        </w:rPr>
        <w:t>构建集土壤、水质、水位、流量于一体的在线监测网络，辅助以人工采集方式，实现管控与修复建设项目动态数据采集和远程传输，并为土壤修复信息化管控平台的开发提供数据支撑</w:t>
      </w:r>
      <w:r>
        <w:rPr>
          <w:rFonts w:hint="eastAsia"/>
        </w:rPr>
        <w:t>；</w:t>
      </w:r>
    </w:p>
    <w:p w:rsidR="00AB2F55" w:rsidRDefault="00BA6C6A">
      <w:pPr>
        <w:ind w:firstLine="480"/>
      </w:pPr>
      <w:r>
        <w:rPr>
          <w:rFonts w:hint="eastAsia"/>
        </w:rPr>
        <w:t>（</w:t>
      </w:r>
      <w:r>
        <w:rPr>
          <w:rFonts w:hint="eastAsia"/>
        </w:rPr>
        <w:t>2</w:t>
      </w:r>
      <w:r>
        <w:rPr>
          <w:rFonts w:hint="eastAsia"/>
        </w:rPr>
        <w:t>）</w:t>
      </w:r>
      <w:r>
        <w:rPr>
          <w:rFonts w:hint="eastAsia"/>
        </w:rPr>
        <w:t>建立智慧环保管控平台</w:t>
      </w:r>
    </w:p>
    <w:p w:rsidR="00AB2F55" w:rsidRDefault="00BA6C6A">
      <w:pPr>
        <w:ind w:firstLine="480"/>
      </w:pPr>
      <w:r>
        <w:rPr>
          <w:rFonts w:hint="eastAsia"/>
        </w:rPr>
        <w:t>实现</w:t>
      </w:r>
      <w:r>
        <w:rPr>
          <w:rFonts w:hint="eastAsia"/>
        </w:rPr>
        <w:t>智慧环保一张图可视化展示、监测数据集成显示、考核指标动态评估、智慧环保项目信息管理、现场运行情况采集等功能，实现信息的协同与互动，支持智慧环保建设管理和智慧环保的考核评估</w:t>
      </w:r>
      <w:r>
        <w:rPr>
          <w:rFonts w:hint="eastAsia"/>
        </w:rPr>
        <w:t>；</w:t>
      </w:r>
    </w:p>
    <w:p w:rsidR="00AB2F55" w:rsidRDefault="00BA6C6A">
      <w:pPr>
        <w:ind w:firstLine="480"/>
      </w:pPr>
      <w:r>
        <w:rPr>
          <w:rFonts w:hint="eastAsia"/>
        </w:rPr>
        <w:t>（</w:t>
      </w:r>
      <w:r>
        <w:rPr>
          <w:rFonts w:hint="eastAsia"/>
        </w:rPr>
        <w:t>3</w:t>
      </w:r>
      <w:r>
        <w:rPr>
          <w:rFonts w:hint="eastAsia"/>
        </w:rPr>
        <w:t>）</w:t>
      </w:r>
      <w:r>
        <w:rPr>
          <w:rFonts w:hint="eastAsia"/>
        </w:rPr>
        <w:t>实现全生命周期管理</w:t>
      </w:r>
    </w:p>
    <w:p w:rsidR="00AB2F55" w:rsidRDefault="00BA6C6A">
      <w:pPr>
        <w:ind w:firstLine="480"/>
      </w:pPr>
      <w:r>
        <w:rPr>
          <w:rFonts w:hint="eastAsia"/>
        </w:rPr>
        <w:t>开展采选矿区全方位、长期有效的过程监测，以土壤环境综合治理工程建设运营数据为基础，建设绩效指标计算评价管理系统，形成以指标为核心的运营对标决策管理体系，对已建项目进行工程效益自评估与内部考核。本指南基坑清理、异位管控后土壤、原位管控后土壤评估采样节点、布点数量与位置及效果评估方法参照</w:t>
      </w:r>
      <w:r>
        <w:rPr>
          <w:rFonts w:hint="eastAsia"/>
        </w:rPr>
        <w:t>HJ 25.5</w:t>
      </w:r>
      <w:r>
        <w:rPr>
          <w:rFonts w:hint="eastAsia"/>
        </w:rPr>
        <w:t>执行</w:t>
      </w:r>
      <w:r>
        <w:rPr>
          <w:rFonts w:hint="eastAsia"/>
        </w:rPr>
        <w:t>。</w:t>
      </w:r>
    </w:p>
    <w:p w:rsidR="00AB2F55" w:rsidRDefault="00BA6C6A">
      <w:pPr>
        <w:ind w:firstLine="480"/>
        <w:rPr>
          <w:rFonts w:ascii="宋体" w:hAnsi="宋体" w:cs="宋体"/>
          <w:szCs w:val="24"/>
        </w:rPr>
      </w:pPr>
      <w:r>
        <w:rPr>
          <w:rFonts w:hint="eastAsia"/>
        </w:rPr>
        <w:t>长期监</w:t>
      </w:r>
      <w:r>
        <w:rPr>
          <w:rFonts w:hint="eastAsia"/>
        </w:rPr>
        <w:t>测与综合管理</w:t>
      </w:r>
      <w:r>
        <w:rPr>
          <w:rFonts w:hint="eastAsia"/>
        </w:rPr>
        <w:t>主要由智慧集成监测和管理系统组成</w:t>
      </w:r>
      <w:r>
        <w:rPr>
          <w:rFonts w:hint="eastAsia"/>
        </w:rPr>
        <w:t>。</w:t>
      </w:r>
    </w:p>
    <w:p w:rsidR="00AB2F55" w:rsidRDefault="00BA6C6A">
      <w:pPr>
        <w:pStyle w:val="3"/>
        <w:ind w:firstLine="482"/>
      </w:pPr>
      <w:bookmarkStart w:id="71" w:name="_Toc16484"/>
      <w:bookmarkStart w:id="72" w:name="_Toc28997"/>
      <w:bookmarkStart w:id="73" w:name="_Toc21832"/>
      <w:r>
        <w:rPr>
          <w:rFonts w:hint="eastAsia"/>
        </w:rPr>
        <w:t xml:space="preserve">2.3.9 </w:t>
      </w:r>
      <w:r>
        <w:rPr>
          <w:rFonts w:hint="eastAsia"/>
        </w:rPr>
        <w:t>矿区环境风险管控验收</w:t>
      </w:r>
      <w:bookmarkEnd w:id="71"/>
      <w:bookmarkEnd w:id="72"/>
      <w:bookmarkEnd w:id="73"/>
    </w:p>
    <w:p w:rsidR="00AB2F55" w:rsidRDefault="00BA6C6A">
      <w:pPr>
        <w:ind w:firstLine="480"/>
      </w:pPr>
      <w:r>
        <w:rPr>
          <w:rFonts w:hint="eastAsia"/>
        </w:rPr>
        <w:t>本标准规定矿区环境风险管控验收执行的标准，后续长期监测方案和</w:t>
      </w:r>
      <w:bookmarkStart w:id="74" w:name="_Toc129303129"/>
      <w:r>
        <w:rPr>
          <w:rFonts w:hint="eastAsia"/>
        </w:rPr>
        <w:t>数据分析与集成验收</w:t>
      </w:r>
      <w:bookmarkEnd w:id="74"/>
      <w:r>
        <w:rPr>
          <w:rFonts w:hint="eastAsia"/>
        </w:rPr>
        <w:t>方法，其中，后续监测包括对土壤环境和水环境的监测。</w:t>
      </w:r>
    </w:p>
    <w:p w:rsidR="00AB2F55" w:rsidRDefault="00BA6C6A">
      <w:pPr>
        <w:ind w:firstLine="480"/>
      </w:pPr>
      <w:r>
        <w:rPr>
          <w:rFonts w:hint="eastAsia"/>
        </w:rPr>
        <w:t>土壤分为工业场地土壤、农用地土壤，待检特征污染物可根据项目关注污染物确定，具体取样方式、监测频次可参照《工业场地治理与修复技术体系》</w:t>
      </w:r>
      <w:r>
        <w:rPr>
          <w:rFonts w:hint="eastAsia"/>
        </w:rPr>
        <w:t>11.2</w:t>
      </w:r>
      <w:r>
        <w:rPr>
          <w:rFonts w:hint="eastAsia"/>
        </w:rPr>
        <w:t>监测要求及《重金属污染农田治理与安全利用技术体系》</w:t>
      </w:r>
      <w:r>
        <w:rPr>
          <w:rFonts w:hint="eastAsia"/>
        </w:rPr>
        <w:t>10.2</w:t>
      </w:r>
      <w:r>
        <w:rPr>
          <w:rFonts w:hint="eastAsia"/>
        </w:rPr>
        <w:t>监测要求；水环境监测因子主要包括</w:t>
      </w:r>
      <w:r>
        <w:rPr>
          <w:rFonts w:hint="eastAsia"/>
        </w:rPr>
        <w:t>As</w:t>
      </w:r>
      <w:r>
        <w:rPr>
          <w:rFonts w:hint="eastAsia"/>
        </w:rPr>
        <w:t>、</w:t>
      </w:r>
      <w:r>
        <w:rPr>
          <w:rFonts w:hint="eastAsia"/>
        </w:rPr>
        <w:t>Cd</w:t>
      </w:r>
      <w:r>
        <w:rPr>
          <w:rFonts w:hint="eastAsia"/>
        </w:rPr>
        <w:t>、</w:t>
      </w:r>
      <w:r>
        <w:rPr>
          <w:rFonts w:hint="eastAsia"/>
        </w:rPr>
        <w:t>Sb</w:t>
      </w:r>
      <w:r>
        <w:rPr>
          <w:rFonts w:hint="eastAsia"/>
        </w:rPr>
        <w:t>、</w:t>
      </w:r>
      <w:r>
        <w:rPr>
          <w:rFonts w:hint="eastAsia"/>
        </w:rPr>
        <w:t>Pb</w:t>
      </w:r>
      <w:r>
        <w:rPr>
          <w:rFonts w:hint="eastAsia"/>
        </w:rPr>
        <w:t>、</w:t>
      </w:r>
      <w:r>
        <w:rPr>
          <w:rFonts w:hint="eastAsia"/>
        </w:rPr>
        <w:t>Zn</w:t>
      </w:r>
      <w:r>
        <w:rPr>
          <w:rFonts w:hint="eastAsia"/>
        </w:rPr>
        <w:t>及其它特征污染物、</w:t>
      </w:r>
      <w:r>
        <w:rPr>
          <w:rFonts w:hint="eastAsia"/>
        </w:rPr>
        <w:t>COD</w:t>
      </w:r>
      <w:r>
        <w:rPr>
          <w:rFonts w:hint="eastAsia"/>
        </w:rPr>
        <w:t>、氨氮、</w:t>
      </w:r>
      <w:r>
        <w:rPr>
          <w:rFonts w:hint="eastAsia"/>
        </w:rPr>
        <w:t>pH</w:t>
      </w:r>
      <w:r>
        <w:rPr>
          <w:rFonts w:hint="eastAsia"/>
        </w:rPr>
        <w:t>值、电</w:t>
      </w:r>
      <w:r>
        <w:rPr>
          <w:rFonts w:hint="eastAsia"/>
        </w:rPr>
        <w:t>导率等参数；具体取样方式、监测频次可参照《河道治理与修复技术体系》</w:t>
      </w:r>
      <w:r>
        <w:rPr>
          <w:rFonts w:hint="eastAsia"/>
        </w:rPr>
        <w:t>10.2</w:t>
      </w:r>
      <w:r>
        <w:rPr>
          <w:rFonts w:hint="eastAsia"/>
        </w:rPr>
        <w:t>监测要求。</w:t>
      </w:r>
    </w:p>
    <w:p w:rsidR="00AB2F55" w:rsidRDefault="00BA6C6A">
      <w:pPr>
        <w:pStyle w:val="2"/>
        <w:ind w:firstLine="562"/>
      </w:pPr>
      <w:bookmarkStart w:id="75" w:name="_Toc26546"/>
      <w:bookmarkStart w:id="76" w:name="_Toc25507"/>
      <w:bookmarkStart w:id="77" w:name="_Toc14754"/>
      <w:r>
        <w:rPr>
          <w:rFonts w:hint="eastAsia"/>
        </w:rPr>
        <w:t xml:space="preserve">2.4 </w:t>
      </w:r>
      <w:r>
        <w:rPr>
          <w:rFonts w:hint="eastAsia"/>
        </w:rPr>
        <w:t>解决的主要问题</w:t>
      </w:r>
      <w:bookmarkEnd w:id="75"/>
      <w:bookmarkEnd w:id="76"/>
      <w:bookmarkEnd w:id="77"/>
    </w:p>
    <w:p w:rsidR="00AB2F55" w:rsidRDefault="00BA6C6A">
      <w:pPr>
        <w:ind w:firstLine="480"/>
      </w:pPr>
      <w:r>
        <w:rPr>
          <w:rFonts w:hint="eastAsia"/>
        </w:rPr>
        <w:t>本标准通过识别确定污染区，对土壤风险进行评价，进一步对土壤风险进行管控和筛选修复技术，并进行实施和长期监测管理。对岩溶山地区金属采选场周边土壤的管控和修复具有良好的针对性，能够为管理部门和从业人员提供技术参考。</w:t>
      </w:r>
    </w:p>
    <w:p w:rsidR="00AB2F55" w:rsidRDefault="00BA6C6A">
      <w:pPr>
        <w:pStyle w:val="1"/>
        <w:ind w:firstLine="602"/>
      </w:pPr>
      <w:bookmarkStart w:id="78" w:name="_Toc6482"/>
      <w:bookmarkStart w:id="79" w:name="_Toc15511"/>
      <w:bookmarkStart w:id="80" w:name="_Toc23649"/>
      <w:r>
        <w:rPr>
          <w:rFonts w:hint="eastAsia"/>
        </w:rPr>
        <w:t xml:space="preserve">3 </w:t>
      </w:r>
      <w:r>
        <w:rPr>
          <w:rFonts w:hint="eastAsia"/>
        </w:rPr>
        <w:t>我国有关现行法律、法规和其他强制性标准的关系</w:t>
      </w:r>
      <w:bookmarkEnd w:id="78"/>
      <w:bookmarkEnd w:id="79"/>
      <w:bookmarkEnd w:id="80"/>
    </w:p>
    <w:p w:rsidR="00AB2F55" w:rsidRDefault="00BA6C6A">
      <w:pPr>
        <w:ind w:firstLine="562"/>
        <w:outlineLvl w:val="1"/>
        <w:rPr>
          <w:rFonts w:ascii="宋体" w:hAnsi="宋体" w:cs="宋体"/>
          <w:color w:val="auto"/>
          <w:szCs w:val="24"/>
        </w:rPr>
      </w:pPr>
      <w:bookmarkStart w:id="81" w:name="_Toc18441"/>
      <w:bookmarkStart w:id="82" w:name="_Toc4223"/>
      <w:bookmarkStart w:id="83" w:name="_Toc21548"/>
      <w:r>
        <w:rPr>
          <w:rStyle w:val="2Char"/>
          <w:rFonts w:hint="eastAsia"/>
          <w:color w:val="auto"/>
        </w:rPr>
        <w:t xml:space="preserve">3.1 </w:t>
      </w:r>
      <w:r>
        <w:rPr>
          <w:rStyle w:val="2Char"/>
          <w:color w:val="auto"/>
        </w:rPr>
        <w:t>国家标准的基本要求相一致</w:t>
      </w:r>
      <w:bookmarkEnd w:id="81"/>
      <w:bookmarkEnd w:id="82"/>
      <w:bookmarkEnd w:id="83"/>
      <w:r>
        <w:rPr>
          <w:rFonts w:ascii="宋体" w:hAnsi="宋体" w:cs="宋体"/>
          <w:color w:val="auto"/>
          <w:szCs w:val="24"/>
        </w:rPr>
        <w:t xml:space="preserve"> </w:t>
      </w:r>
    </w:p>
    <w:p w:rsidR="00AB2F55" w:rsidRDefault="00BA6C6A">
      <w:pPr>
        <w:ind w:firstLine="480"/>
        <w:rPr>
          <w:color w:val="auto"/>
        </w:rPr>
      </w:pPr>
      <w:r>
        <w:rPr>
          <w:rFonts w:hint="eastAsia"/>
          <w:color w:val="auto"/>
        </w:rPr>
        <w:t>本标准主要依据</w:t>
      </w:r>
      <w:r>
        <w:rPr>
          <w:rFonts w:hint="eastAsia"/>
          <w:color w:val="auto"/>
        </w:rPr>
        <w:t>《建设用地土壤环境调查评估技术指南》（环境保护部公告第</w:t>
      </w:r>
      <w:r>
        <w:rPr>
          <w:rFonts w:hint="eastAsia"/>
          <w:color w:val="auto"/>
        </w:rPr>
        <w:t>72</w:t>
      </w:r>
      <w:r>
        <w:rPr>
          <w:rFonts w:hint="eastAsia"/>
          <w:color w:val="auto"/>
        </w:rPr>
        <w:t>号）、《建设用地土壤污染状况调查技术导则》（</w:t>
      </w:r>
      <w:r>
        <w:rPr>
          <w:rFonts w:hint="eastAsia"/>
          <w:color w:val="auto"/>
        </w:rPr>
        <w:t xml:space="preserve"> HJ 25.1-2019</w:t>
      </w:r>
      <w:r>
        <w:rPr>
          <w:rFonts w:hint="eastAsia"/>
          <w:color w:val="auto"/>
        </w:rPr>
        <w:t>）、《建设用地土壤污染风险管控和修复监测技术导则》（</w:t>
      </w:r>
      <w:r>
        <w:rPr>
          <w:rFonts w:hint="eastAsia"/>
          <w:color w:val="auto"/>
        </w:rPr>
        <w:t xml:space="preserve"> HJ 25.2-2019</w:t>
      </w:r>
      <w:r>
        <w:rPr>
          <w:rFonts w:hint="eastAsia"/>
          <w:color w:val="auto"/>
        </w:rPr>
        <w:t>）、《建设用地土壤污染风险评估技术导则》（</w:t>
      </w:r>
      <w:r>
        <w:rPr>
          <w:rFonts w:hint="eastAsia"/>
          <w:color w:val="auto"/>
        </w:rPr>
        <w:t xml:space="preserve"> HJ 25.3-2019</w:t>
      </w:r>
      <w:r>
        <w:rPr>
          <w:rFonts w:hint="eastAsia"/>
          <w:color w:val="auto"/>
        </w:rPr>
        <w:t>）、《建设用地土壤修复技术导则》（</w:t>
      </w:r>
      <w:r>
        <w:rPr>
          <w:rFonts w:hint="eastAsia"/>
          <w:color w:val="auto"/>
        </w:rPr>
        <w:t xml:space="preserve"> HJ 25.4-2019</w:t>
      </w:r>
      <w:r>
        <w:rPr>
          <w:rFonts w:hint="eastAsia"/>
          <w:color w:val="auto"/>
        </w:rPr>
        <w:t>）</w:t>
      </w:r>
      <w:r>
        <w:rPr>
          <w:rFonts w:hint="eastAsia"/>
          <w:color w:val="auto"/>
        </w:rPr>
        <w:t>和</w:t>
      </w:r>
      <w:r>
        <w:rPr>
          <w:rFonts w:hint="eastAsia"/>
          <w:color w:val="auto"/>
        </w:rPr>
        <w:t>《污染地块风险管控与土壤修复效果评估技术导则》（</w:t>
      </w:r>
      <w:r>
        <w:rPr>
          <w:rFonts w:hint="eastAsia"/>
          <w:color w:val="auto"/>
        </w:rPr>
        <w:t xml:space="preserve"> HJ 25.5-2018</w:t>
      </w:r>
      <w:r>
        <w:rPr>
          <w:rFonts w:hint="eastAsia"/>
          <w:color w:val="auto"/>
        </w:rPr>
        <w:t>）等相关规范，</w:t>
      </w:r>
      <w:r>
        <w:rPr>
          <w:rFonts w:hint="eastAsia"/>
          <w:color w:val="auto"/>
        </w:rPr>
        <w:t>涉及的</w:t>
      </w:r>
      <w:r>
        <w:rPr>
          <w:rFonts w:hint="eastAsia"/>
          <w:color w:val="auto"/>
        </w:rPr>
        <w:t>术语定义、环境调查、风险评估和风险管控方式等均与国家基本相一致。</w:t>
      </w:r>
    </w:p>
    <w:p w:rsidR="00AB2F55" w:rsidRDefault="00BA6C6A">
      <w:pPr>
        <w:ind w:firstLine="562"/>
        <w:outlineLvl w:val="1"/>
        <w:rPr>
          <w:rFonts w:ascii="宋体" w:hAnsi="宋体" w:cs="宋体"/>
          <w:color w:val="auto"/>
          <w:szCs w:val="24"/>
        </w:rPr>
      </w:pPr>
      <w:bookmarkStart w:id="84" w:name="_Toc657"/>
      <w:bookmarkStart w:id="85" w:name="_Toc27567"/>
      <w:bookmarkStart w:id="86" w:name="_Toc7777"/>
      <w:r>
        <w:rPr>
          <w:rStyle w:val="2Char"/>
          <w:rFonts w:hint="eastAsia"/>
          <w:color w:val="auto"/>
        </w:rPr>
        <w:t xml:space="preserve">3.2 </w:t>
      </w:r>
      <w:r>
        <w:rPr>
          <w:rStyle w:val="2Char"/>
        </w:rPr>
        <w:t>是对现</w:t>
      </w:r>
      <w:r>
        <w:rPr>
          <w:rStyle w:val="2Char"/>
        </w:rPr>
        <w:t>有的标准规范的补充和细化</w:t>
      </w:r>
      <w:bookmarkEnd w:id="84"/>
      <w:bookmarkEnd w:id="85"/>
      <w:bookmarkEnd w:id="86"/>
    </w:p>
    <w:p w:rsidR="00AB2F55" w:rsidRDefault="00BA6C6A">
      <w:pPr>
        <w:ind w:firstLine="480"/>
      </w:pPr>
      <w:r>
        <w:rPr>
          <w:color w:val="auto"/>
        </w:rPr>
        <w:t>现行的建设用地土壤污染状况调查、风险评估以及风险管控等有一系列的技术导则文件基本已经满足现有的管理需求</w:t>
      </w:r>
      <w:r>
        <w:rPr>
          <w:rFonts w:hint="eastAsia"/>
          <w:color w:val="auto"/>
        </w:rPr>
        <w:t>。然而由于岩溶山地区金属矿区存在其特殊性，以</w:t>
      </w:r>
      <w:r>
        <w:rPr>
          <w:rFonts w:hint="eastAsia"/>
        </w:rPr>
        <w:t>往的标准对于某些矿区可能不适用。因此，本标准是对现有相关标准和指南的进一步细化和补充。</w:t>
      </w:r>
    </w:p>
    <w:p w:rsidR="00AB2F55" w:rsidRDefault="00BA6C6A">
      <w:pPr>
        <w:pStyle w:val="1"/>
        <w:ind w:firstLine="602"/>
      </w:pPr>
      <w:bookmarkStart w:id="87" w:name="_Toc2715"/>
      <w:bookmarkStart w:id="88" w:name="_Toc15321"/>
      <w:bookmarkStart w:id="89" w:name="_Toc30193"/>
      <w:r>
        <w:rPr>
          <w:rFonts w:hint="eastAsia"/>
        </w:rPr>
        <w:t xml:space="preserve">4 </w:t>
      </w:r>
      <w:r>
        <w:rPr>
          <w:rFonts w:hint="eastAsia"/>
        </w:rPr>
        <w:t>重大意见和分歧的处理结果依据</w:t>
      </w:r>
      <w:bookmarkEnd w:id="87"/>
      <w:bookmarkEnd w:id="88"/>
      <w:bookmarkEnd w:id="89"/>
    </w:p>
    <w:p w:rsidR="00AB2F55" w:rsidRDefault="00BA6C6A">
      <w:pPr>
        <w:ind w:firstLine="480"/>
      </w:pPr>
      <w:r>
        <w:rPr>
          <w:rFonts w:hint="eastAsia"/>
        </w:rPr>
        <w:t>在标准制定过程中出现的重大意见和分歧时，在符合相关的法律法规的基础上，进一步与相关标准、导则和技术指南进行比较，然后编制组通过会议讨论形成统一意见后，向相关领域的专家咨询，最终形成修改意见，完善本技术规范。</w:t>
      </w:r>
    </w:p>
    <w:p w:rsidR="00AB2F55" w:rsidRDefault="00BA6C6A">
      <w:pPr>
        <w:pStyle w:val="1"/>
        <w:ind w:firstLine="602"/>
      </w:pPr>
      <w:bookmarkStart w:id="90" w:name="_Toc26758"/>
      <w:bookmarkStart w:id="91" w:name="_Toc13017"/>
      <w:bookmarkStart w:id="92" w:name="_Toc11239"/>
      <w:r>
        <w:rPr>
          <w:rFonts w:hint="eastAsia"/>
        </w:rPr>
        <w:t xml:space="preserve">5 </w:t>
      </w:r>
      <w:r>
        <w:rPr>
          <w:rFonts w:hint="eastAsia"/>
        </w:rPr>
        <w:t>预期经</w:t>
      </w:r>
      <w:r>
        <w:rPr>
          <w:rFonts w:hint="eastAsia"/>
        </w:rPr>
        <w:t>济效果</w:t>
      </w:r>
      <w:bookmarkEnd w:id="90"/>
      <w:bookmarkEnd w:id="91"/>
      <w:bookmarkEnd w:id="92"/>
    </w:p>
    <w:p w:rsidR="00AB2F55" w:rsidRDefault="00BA6C6A">
      <w:pPr>
        <w:pStyle w:val="2"/>
        <w:ind w:firstLine="562"/>
      </w:pPr>
      <w:bookmarkStart w:id="93" w:name="_Toc21980"/>
      <w:bookmarkStart w:id="94" w:name="_Toc12624"/>
      <w:bookmarkStart w:id="95" w:name="_Toc30339"/>
      <w:r>
        <w:rPr>
          <w:rFonts w:hint="eastAsia"/>
        </w:rPr>
        <w:t xml:space="preserve">5.1 </w:t>
      </w:r>
      <w:r>
        <w:rPr>
          <w:rFonts w:hint="eastAsia"/>
        </w:rPr>
        <w:t>本标准实施成本分析</w:t>
      </w:r>
      <w:bookmarkEnd w:id="93"/>
      <w:bookmarkEnd w:id="94"/>
      <w:bookmarkEnd w:id="95"/>
    </w:p>
    <w:p w:rsidR="00AB2F55" w:rsidRDefault="00BA6C6A">
      <w:pPr>
        <w:ind w:firstLine="480"/>
      </w:pPr>
      <w:r>
        <w:t>在经济性方面，根据已有的应用案例可知，与治理修复技术相比，采用工程阻隔等风险管控措施可使土壤污染防治成本</w:t>
      </w:r>
      <w:r>
        <w:rPr>
          <w:rFonts w:hint="eastAsia"/>
        </w:rPr>
        <w:t>大大</w:t>
      </w:r>
      <w:r>
        <w:t>降低，</w:t>
      </w:r>
      <w:r>
        <w:rPr>
          <w:rFonts w:hint="eastAsia"/>
        </w:rPr>
        <w:t>具有</w:t>
      </w:r>
      <w:r>
        <w:t>良好</w:t>
      </w:r>
      <w:r>
        <w:rPr>
          <w:rFonts w:hint="eastAsia"/>
        </w:rPr>
        <w:t>的</w:t>
      </w:r>
      <w:r>
        <w:t>经济性。</w:t>
      </w:r>
      <w:r>
        <w:t xml:space="preserve"> </w:t>
      </w:r>
    </w:p>
    <w:p w:rsidR="00AB2F55" w:rsidRDefault="00BA6C6A">
      <w:pPr>
        <w:pStyle w:val="2"/>
        <w:ind w:firstLine="562"/>
      </w:pPr>
      <w:bookmarkStart w:id="96" w:name="_Toc32007"/>
      <w:bookmarkStart w:id="97" w:name="_Toc32183"/>
      <w:bookmarkStart w:id="98" w:name="_Toc10725"/>
      <w:r>
        <w:rPr>
          <w:rFonts w:hint="eastAsia"/>
        </w:rPr>
        <w:t xml:space="preserve">5.2 </w:t>
      </w:r>
      <w:r>
        <w:rPr>
          <w:rFonts w:hint="eastAsia"/>
        </w:rPr>
        <w:t>实施效益分析</w:t>
      </w:r>
      <w:bookmarkEnd w:id="96"/>
      <w:bookmarkEnd w:id="97"/>
      <w:bookmarkEnd w:id="98"/>
    </w:p>
    <w:p w:rsidR="00AB2F55" w:rsidRDefault="00BA6C6A">
      <w:pPr>
        <w:ind w:firstLine="480"/>
        <w:rPr>
          <w:sz w:val="18"/>
          <w:szCs w:val="18"/>
        </w:rPr>
      </w:pPr>
      <w:r>
        <w:t>风险管控采用的工程阻隔措施在国内外均有较为广泛的</w:t>
      </w:r>
      <w:r>
        <w:rPr>
          <w:color w:val="auto"/>
        </w:rPr>
        <w:t>应用</w:t>
      </w:r>
      <w:r>
        <w:rPr>
          <w:rFonts w:hint="eastAsia"/>
          <w:color w:val="auto"/>
        </w:rPr>
        <w:t>，</w:t>
      </w:r>
      <w:r>
        <w:rPr>
          <w:color w:val="auto"/>
        </w:rPr>
        <w:t>结</w:t>
      </w:r>
      <w:r>
        <w:t>合长期监测措施和制度控制措施的使用，可全面保证风险管控的效果，确保周边居民与地表水、地下水等敏感受体的安全，实现环境效益，具有极强的技术可行性。</w:t>
      </w:r>
    </w:p>
    <w:p w:rsidR="00AB2F55" w:rsidRDefault="00BA6C6A">
      <w:pPr>
        <w:pStyle w:val="1"/>
        <w:ind w:firstLine="602"/>
      </w:pPr>
      <w:bookmarkStart w:id="99" w:name="_bookmark4"/>
      <w:bookmarkStart w:id="100" w:name="_Toc27825"/>
      <w:bookmarkStart w:id="101" w:name="_Toc10895"/>
      <w:bookmarkStart w:id="102" w:name="_Toc3088"/>
      <w:bookmarkEnd w:id="99"/>
      <w:r>
        <w:rPr>
          <w:rFonts w:hint="eastAsia"/>
        </w:rPr>
        <w:t xml:space="preserve">6 </w:t>
      </w:r>
      <w:r>
        <w:rPr>
          <w:rFonts w:hint="eastAsia"/>
        </w:rPr>
        <w:t>本标准实施的相关建议</w:t>
      </w:r>
      <w:bookmarkEnd w:id="100"/>
      <w:bookmarkEnd w:id="101"/>
      <w:bookmarkEnd w:id="102"/>
    </w:p>
    <w:p w:rsidR="00AB2F55" w:rsidRDefault="00BA6C6A">
      <w:pPr>
        <w:pStyle w:val="2"/>
        <w:ind w:firstLine="562"/>
      </w:pPr>
      <w:bookmarkStart w:id="103" w:name="_Toc5671"/>
      <w:bookmarkStart w:id="104" w:name="_Toc29070"/>
      <w:bookmarkStart w:id="105" w:name="_Toc3787"/>
      <w:r>
        <w:rPr>
          <w:rFonts w:hint="eastAsia"/>
        </w:rPr>
        <w:t xml:space="preserve">6.1 </w:t>
      </w:r>
      <w:r>
        <w:rPr>
          <w:rFonts w:hint="eastAsia"/>
        </w:rPr>
        <w:t>标准执行</w:t>
      </w:r>
      <w:bookmarkEnd w:id="103"/>
      <w:bookmarkEnd w:id="104"/>
      <w:bookmarkEnd w:id="105"/>
    </w:p>
    <w:p w:rsidR="00AB2F55" w:rsidRDefault="00BA6C6A">
      <w:pPr>
        <w:ind w:firstLine="480"/>
      </w:pPr>
      <w:r>
        <w:rPr>
          <w:rFonts w:hint="eastAsia"/>
        </w:rPr>
        <w:t>加强标准的贯彻实施，通过多渠道、多形式加大宣传与推广力度，让更多从业者和管理人员及时了解和掌握标准的内容与意，</w:t>
      </w:r>
      <w:r>
        <w:rPr>
          <w:rFonts w:hint="eastAsia"/>
          <w:color w:val="auto"/>
        </w:rPr>
        <w:t>并经得</w:t>
      </w:r>
      <w:r>
        <w:rPr>
          <w:rFonts w:hint="eastAsia"/>
        </w:rPr>
        <w:t>起实践的检验。</w:t>
      </w:r>
    </w:p>
    <w:p w:rsidR="00AB2F55" w:rsidRDefault="00BA6C6A">
      <w:pPr>
        <w:pStyle w:val="2"/>
        <w:ind w:firstLine="562"/>
      </w:pPr>
      <w:bookmarkStart w:id="106" w:name="_Toc30872"/>
      <w:bookmarkStart w:id="107" w:name="_Toc26855"/>
      <w:bookmarkStart w:id="108" w:name="_Toc28761"/>
      <w:r>
        <w:rPr>
          <w:rFonts w:hint="eastAsia"/>
        </w:rPr>
        <w:t xml:space="preserve">6.2 </w:t>
      </w:r>
      <w:r>
        <w:rPr>
          <w:rFonts w:hint="eastAsia"/>
        </w:rPr>
        <w:t>标准完善</w:t>
      </w:r>
      <w:bookmarkEnd w:id="106"/>
      <w:bookmarkEnd w:id="107"/>
      <w:bookmarkEnd w:id="108"/>
    </w:p>
    <w:p w:rsidR="00AB2F55" w:rsidRDefault="00BA6C6A">
      <w:pPr>
        <w:ind w:firstLine="480"/>
        <w:rPr>
          <w:color w:val="auto"/>
        </w:rPr>
      </w:pPr>
      <w:r>
        <w:rPr>
          <w:rFonts w:hint="eastAsia"/>
          <w:color w:val="auto"/>
        </w:rPr>
        <w:t>标准是在实践中不断完善的，所以在标准试行时应建立标准问题受理机制和机构及标准信息交流与反馈网络平台，一要建立标准问题受理机制和机构，使标准编制者、使用者或其他工作者发现问题时，能通过合理有效的反馈机制在第一时间将问题反馈于受理部门，并得到及时处理；二要建标准信息交流与反馈网络平台，新标准投入实践后，及时掌握反馈信息，了解实际应用效果；通过信息平台集思广益，汲取</w:t>
      </w:r>
      <w:r>
        <w:rPr>
          <w:rFonts w:hint="eastAsia"/>
          <w:color w:val="auto"/>
        </w:rPr>
        <w:t>研究者、使用者等的意见、建议及行业、企业内等先进合理的技术、方法等，多法遴选，不断完善标准，提高标准的制定效率、编制质量、适用性及时效性等。</w:t>
      </w:r>
    </w:p>
    <w:p w:rsidR="00AB2F55" w:rsidRDefault="00BA6C6A">
      <w:pPr>
        <w:pStyle w:val="2"/>
        <w:ind w:firstLine="562"/>
      </w:pPr>
      <w:bookmarkStart w:id="109" w:name="_Toc7227"/>
      <w:bookmarkStart w:id="110" w:name="_Toc16137"/>
      <w:bookmarkStart w:id="111" w:name="_Toc7709"/>
      <w:r>
        <w:rPr>
          <w:rFonts w:hint="eastAsia"/>
        </w:rPr>
        <w:t xml:space="preserve">6.3 </w:t>
      </w:r>
      <w:r>
        <w:rPr>
          <w:rFonts w:hint="eastAsia"/>
        </w:rPr>
        <w:t>其他建议</w:t>
      </w:r>
      <w:bookmarkEnd w:id="109"/>
      <w:bookmarkEnd w:id="110"/>
      <w:bookmarkEnd w:id="111"/>
    </w:p>
    <w:p w:rsidR="00AB2F55" w:rsidRDefault="00BA6C6A">
      <w:pPr>
        <w:ind w:firstLine="480"/>
      </w:pPr>
      <w:r>
        <w:t>要适时适当修改标准</w:t>
      </w:r>
      <w:r>
        <w:rPr>
          <w:rFonts w:hint="eastAsia"/>
        </w:rPr>
        <w:t>，</w:t>
      </w:r>
      <w:r>
        <w:t>缩短标准修订期限。对于存有内容错误或技术质量问题的标准应及时修订</w:t>
      </w:r>
      <w:r>
        <w:rPr>
          <w:rFonts w:hint="eastAsia"/>
        </w:rPr>
        <w:t>，</w:t>
      </w:r>
      <w:r>
        <w:t>并根据</w:t>
      </w:r>
      <w:r>
        <w:rPr>
          <w:rFonts w:hint="eastAsia"/>
        </w:rPr>
        <w:t>反馈</w:t>
      </w:r>
      <w:r>
        <w:t>及时对标准进行完善和补充。</w:t>
      </w:r>
      <w:r>
        <w:rPr>
          <w:rFonts w:hint="eastAsia"/>
        </w:rPr>
        <w:t>同时注重标准的高瞻远瞩，确保标准的有效性和广泛认可性。</w:t>
      </w:r>
    </w:p>
    <w:p w:rsidR="00AB2F55" w:rsidRDefault="00AB2F55">
      <w:pPr>
        <w:ind w:firstLine="480"/>
      </w:pPr>
    </w:p>
    <w:p w:rsidR="00AB2F55" w:rsidRDefault="00AB2F55">
      <w:pPr>
        <w:ind w:firstLine="480"/>
      </w:pPr>
    </w:p>
    <w:sectPr w:rsidR="00AB2F55">
      <w:footerReference w:type="default" r:id="rId9"/>
      <w:pgSz w:w="11911" w:h="16838"/>
      <w:pgMar w:top="1440" w:right="1440" w:bottom="1440" w:left="1678" w:header="879" w:footer="0" w:gutter="0"/>
      <w:pgNumType w:start="1"/>
      <w:cols w:space="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C6A" w:rsidRDefault="00BA6C6A">
      <w:pPr>
        <w:spacing w:line="240" w:lineRule="auto"/>
        <w:ind w:firstLine="480"/>
      </w:pPr>
      <w:r>
        <w:separator/>
      </w:r>
    </w:p>
  </w:endnote>
  <w:endnote w:type="continuationSeparator" w:id="0">
    <w:p w:rsidR="00BA6C6A" w:rsidRDefault="00BA6C6A">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00"/>
    <w:family w:val="auto"/>
    <w:pitch w:val="default"/>
  </w:font>
  <w:font w:name="TimesNewRomanPSM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F55" w:rsidRDefault="00BA6C6A">
    <w:pPr>
      <w:spacing w:line="196" w:lineRule="auto"/>
      <w:ind w:left="4130" w:firstLine="340"/>
      <w:rPr>
        <w:rFonts w:eastAsia="Times New Roman" w:cs="Times New Roman"/>
        <w:sz w:val="17"/>
        <w:szCs w:val="17"/>
      </w:rPr>
    </w:pPr>
    <w:r>
      <w:rPr>
        <w:noProof/>
        <w:sz w:val="17"/>
      </w:rPr>
      <mc:AlternateContent>
        <mc:Choice Requires="wps">
          <w:drawing>
            <wp:anchor distT="0" distB="0" distL="114300" distR="114300" simplePos="0" relativeHeight="251660288" behindDoc="0" locked="0" layoutInCell="1" allowOverlap="1">
              <wp:simplePos x="0" y="0"/>
              <wp:positionH relativeFrom="margin">
                <wp:posOffset>2547620</wp:posOffset>
              </wp:positionH>
              <wp:positionV relativeFrom="paragraph">
                <wp:posOffset>-172720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B2F55" w:rsidRDefault="00BA6C6A">
                          <w:pPr>
                            <w:pStyle w:val="a4"/>
                            <w:ind w:firstLine="360"/>
                          </w:pPr>
                          <w:r>
                            <w:fldChar w:fldCharType="begin"/>
                          </w:r>
                          <w:r>
                            <w:instrText xml:space="preserve"> PAGE  \* MERGEFORMAT </w:instrText>
                          </w:r>
                          <w:r>
                            <w:fldChar w:fldCharType="separate"/>
                          </w:r>
                          <w:r>
                            <w:rPr>
                              <w:noProof/>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00.6pt;margin-top:-13.6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" filled="f" stroked="f" strokeweight=".5pt">
              <v:textbox style="mso-fit-shape-to-text:t" inset="0,0,0,0">
                <w:txbxContent>
                  <w:p w:rsidR="00AB2F55" w:rsidRDefault="00BA6C6A">
                    <w:pPr>
                      <w:pStyle w:val="a4"/>
                      <w:ind w:firstLine="360"/>
                    </w:pPr>
                    <w:r>
                      <w:fldChar w:fldCharType="begin"/>
                    </w:r>
                    <w:r>
                      <w:instrText xml:space="preserve"> PAGE  \* MERGEFORMAT </w:instrText>
                    </w:r>
                    <w:r>
                      <w:fldChar w:fldCharType="separate"/>
                    </w:r>
                    <w:r>
                      <w:rPr>
                        <w:noProof/>
                      </w:rPr>
                      <w:t>I</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F55" w:rsidRDefault="00BA6C6A">
    <w:pPr>
      <w:spacing w:line="196" w:lineRule="auto"/>
      <w:ind w:left="4130" w:firstLine="340"/>
      <w:rPr>
        <w:rFonts w:eastAsia="Times New Roman" w:cs="Times New Roman"/>
        <w:sz w:val="17"/>
        <w:szCs w:val="17"/>
      </w:rPr>
    </w:pPr>
    <w:r>
      <w:rPr>
        <w:noProof/>
        <w:sz w:val="17"/>
      </w:rPr>
      <mc:AlternateContent>
        <mc:Choice Requires="wps">
          <w:drawing>
            <wp:anchor distT="0" distB="0" distL="114300" distR="114300" simplePos="0" relativeHeight="251659264" behindDoc="0" locked="0" layoutInCell="1" allowOverlap="1">
              <wp:simplePos x="0" y="0"/>
              <wp:positionH relativeFrom="margin">
                <wp:posOffset>2662555</wp:posOffset>
              </wp:positionH>
              <wp:positionV relativeFrom="paragraph">
                <wp:posOffset>-248920</wp:posOffset>
              </wp:positionV>
              <wp:extent cx="1828800" cy="2082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082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B2F55" w:rsidRDefault="00BA6C6A">
                          <w:pPr>
                            <w:pStyle w:val="a4"/>
                            <w:ind w:firstLine="360"/>
                          </w:pPr>
                          <w:r>
                            <w:fldChar w:fldCharType="begin"/>
                          </w:r>
                          <w:r>
                            <w:instrText xml:space="preserve"> PAGE  \* MERGEFORMAT </w:instrText>
                          </w:r>
                          <w:r>
                            <w:fldChar w:fldCharType="separate"/>
                          </w:r>
                          <w:r w:rsidR="00666279">
                            <w:rPr>
                              <w:noProof/>
                            </w:rPr>
                            <w:t>11</w:t>
                          </w:r>
                          <w: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209.65pt;margin-top:-19.6pt;width:2in;height:16.4pt;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" filled="f" stroked="f" strokeweight=".5pt">
              <v:textbox inset="0,0,0,0">
                <w:txbxContent>
                  <w:p w:rsidR="00AB2F55" w:rsidRDefault="00BA6C6A">
                    <w:pPr>
                      <w:pStyle w:val="a4"/>
                      <w:ind w:firstLine="360"/>
                    </w:pPr>
                    <w:r>
                      <w:fldChar w:fldCharType="begin"/>
                    </w:r>
                    <w:r>
                      <w:instrText xml:space="preserve"> PAGE  \* MERGEFORMAT </w:instrText>
                    </w:r>
                    <w:r>
                      <w:fldChar w:fldCharType="separate"/>
                    </w:r>
                    <w:r w:rsidR="00666279">
                      <w:rPr>
                        <w:noProof/>
                      </w:rPr>
                      <w:t>11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C6A" w:rsidRDefault="00BA6C6A">
      <w:pPr>
        <w:ind w:firstLine="480"/>
      </w:pPr>
      <w:r>
        <w:separator/>
      </w:r>
    </w:p>
  </w:footnote>
  <w:footnote w:type="continuationSeparator" w:id="0">
    <w:p w:rsidR="00BA6C6A" w:rsidRDefault="00BA6C6A">
      <w:pPr>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i w:val="0"/>
        <w:sz w:val="21"/>
        <w:szCs w:val="21"/>
      </w:rPr>
    </w:lvl>
    <w:lvl w:ilvl="1">
      <w:start w:val="1"/>
      <w:numFmt w:val="decimal"/>
      <w:pStyle w:val="a"/>
      <w:suff w:val="nothing"/>
      <w:lvlText w:val="%1.%2　"/>
      <w:lvlJc w:val="left"/>
      <w:pPr>
        <w:ind w:left="1134" w:firstLine="0"/>
      </w:pPr>
      <w:rPr>
        <w:rFonts w:ascii="黑体" w:eastAsia="黑体" w:hAnsi="Times New Roman" w:cs="Times New Roman" w:hint="eastAsia"/>
        <w:b/>
        <w:bCs w:val="0"/>
        <w:i w:val="0"/>
        <w:iCs w:val="0"/>
        <w:caps w:val="0"/>
        <w:strike w:val="0"/>
        <w:dstrike w:val="0"/>
        <w:vanish w:val="0"/>
        <w:color w:val="auto"/>
        <w:spacing w:val="0"/>
        <w:kern w:val="0"/>
        <w:position w:val="0"/>
        <w:sz w:val="21"/>
        <w:szCs w:val="21"/>
        <w:u w:val="none"/>
        <w:vertAlign w:val="baseline"/>
      </w:rPr>
    </w:lvl>
    <w:lvl w:ilvl="2">
      <w:start w:val="3"/>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ViZjNjMTZhYzMwZmViNjNkYjYwNmEyYzQ5ZmEwMWYifQ=="/>
  </w:docVars>
  <w:rsids>
    <w:rsidRoot w:val="00AB2F55"/>
    <w:rsid w:val="003D1D82"/>
    <w:rsid w:val="00666279"/>
    <w:rsid w:val="00AB2F55"/>
    <w:rsid w:val="00BA6C6A"/>
    <w:rsid w:val="02EE3748"/>
    <w:rsid w:val="03960796"/>
    <w:rsid w:val="053E1D9A"/>
    <w:rsid w:val="06565D7C"/>
    <w:rsid w:val="08793FA4"/>
    <w:rsid w:val="0937025C"/>
    <w:rsid w:val="0B1A18FA"/>
    <w:rsid w:val="0B1F0E32"/>
    <w:rsid w:val="0BEE3592"/>
    <w:rsid w:val="0C48085D"/>
    <w:rsid w:val="0C56465C"/>
    <w:rsid w:val="0CA02447"/>
    <w:rsid w:val="0CFE1423"/>
    <w:rsid w:val="0DE40111"/>
    <w:rsid w:val="0E6E1527"/>
    <w:rsid w:val="0E7C0150"/>
    <w:rsid w:val="0FF63072"/>
    <w:rsid w:val="112A22DF"/>
    <w:rsid w:val="134E6FF0"/>
    <w:rsid w:val="14902DA1"/>
    <w:rsid w:val="14F275B8"/>
    <w:rsid w:val="16013F56"/>
    <w:rsid w:val="16B34B25"/>
    <w:rsid w:val="1715758D"/>
    <w:rsid w:val="17FF6273"/>
    <w:rsid w:val="19EA6AAF"/>
    <w:rsid w:val="1A004525"/>
    <w:rsid w:val="1B4346C9"/>
    <w:rsid w:val="23E7405F"/>
    <w:rsid w:val="25FF528C"/>
    <w:rsid w:val="26955FF5"/>
    <w:rsid w:val="269C1F13"/>
    <w:rsid w:val="27E45486"/>
    <w:rsid w:val="295E3016"/>
    <w:rsid w:val="29AE5D4B"/>
    <w:rsid w:val="2AC63BD9"/>
    <w:rsid w:val="2B836D64"/>
    <w:rsid w:val="2C1932C5"/>
    <w:rsid w:val="2D0F4D53"/>
    <w:rsid w:val="2D5C5ABE"/>
    <w:rsid w:val="2DC86CB0"/>
    <w:rsid w:val="2E532A1D"/>
    <w:rsid w:val="2ECD5F91"/>
    <w:rsid w:val="34C54A22"/>
    <w:rsid w:val="35627C96"/>
    <w:rsid w:val="35CF32D1"/>
    <w:rsid w:val="370451FC"/>
    <w:rsid w:val="37A442EA"/>
    <w:rsid w:val="37DB1C60"/>
    <w:rsid w:val="39C91DA5"/>
    <w:rsid w:val="3A8F2E1D"/>
    <w:rsid w:val="3B0979C5"/>
    <w:rsid w:val="3B8B5E10"/>
    <w:rsid w:val="3D1C6E75"/>
    <w:rsid w:val="3D4C01DD"/>
    <w:rsid w:val="3DFF227A"/>
    <w:rsid w:val="3E547B09"/>
    <w:rsid w:val="3EEF22EE"/>
    <w:rsid w:val="3F9E5AC2"/>
    <w:rsid w:val="40D519B8"/>
    <w:rsid w:val="45024E27"/>
    <w:rsid w:val="45D95AA6"/>
    <w:rsid w:val="47CC58C3"/>
    <w:rsid w:val="4BE23165"/>
    <w:rsid w:val="4BE3352B"/>
    <w:rsid w:val="4BF2341E"/>
    <w:rsid w:val="4CCE3E8B"/>
    <w:rsid w:val="4CE32691"/>
    <w:rsid w:val="4FB9717F"/>
    <w:rsid w:val="4FC21359"/>
    <w:rsid w:val="50E81293"/>
    <w:rsid w:val="5277467D"/>
    <w:rsid w:val="52F46CF8"/>
    <w:rsid w:val="53F87A3F"/>
    <w:rsid w:val="54992FD0"/>
    <w:rsid w:val="556F4475"/>
    <w:rsid w:val="55DD0C9B"/>
    <w:rsid w:val="574865E8"/>
    <w:rsid w:val="57A6466A"/>
    <w:rsid w:val="5813693E"/>
    <w:rsid w:val="58A9755A"/>
    <w:rsid w:val="598C3104"/>
    <w:rsid w:val="59922E34"/>
    <w:rsid w:val="5B303F63"/>
    <w:rsid w:val="5E3B68B9"/>
    <w:rsid w:val="5E5D0BCB"/>
    <w:rsid w:val="5E94159E"/>
    <w:rsid w:val="5E9D506D"/>
    <w:rsid w:val="60025ECE"/>
    <w:rsid w:val="6148231C"/>
    <w:rsid w:val="619C5EAE"/>
    <w:rsid w:val="620677CB"/>
    <w:rsid w:val="63B76FCF"/>
    <w:rsid w:val="63E1279E"/>
    <w:rsid w:val="64532CB8"/>
    <w:rsid w:val="64607667"/>
    <w:rsid w:val="65745108"/>
    <w:rsid w:val="6A6031AA"/>
    <w:rsid w:val="6B113469"/>
    <w:rsid w:val="6B2C004C"/>
    <w:rsid w:val="6B650226"/>
    <w:rsid w:val="6B7C78B7"/>
    <w:rsid w:val="6BBF7FD0"/>
    <w:rsid w:val="6BC32289"/>
    <w:rsid w:val="6C547E76"/>
    <w:rsid w:val="6EC10D02"/>
    <w:rsid w:val="70710506"/>
    <w:rsid w:val="71F238C8"/>
    <w:rsid w:val="735004DA"/>
    <w:rsid w:val="73797DFD"/>
    <w:rsid w:val="74DA58D6"/>
    <w:rsid w:val="75DC446A"/>
    <w:rsid w:val="76143E0D"/>
    <w:rsid w:val="761D53B8"/>
    <w:rsid w:val="76A038F3"/>
    <w:rsid w:val="76F14AFB"/>
    <w:rsid w:val="77972CB2"/>
    <w:rsid w:val="77EF7C01"/>
    <w:rsid w:val="78F41CD4"/>
    <w:rsid w:val="7A680BCB"/>
    <w:rsid w:val="7A721A4A"/>
    <w:rsid w:val="7B9B28DB"/>
    <w:rsid w:val="7C1903CF"/>
    <w:rsid w:val="7C997219"/>
    <w:rsid w:val="7CAD4FBB"/>
    <w:rsid w:val="7CB27956"/>
    <w:rsid w:val="7D8E46D2"/>
    <w:rsid w:val="7E062BD5"/>
    <w:rsid w:val="7ED96383"/>
    <w:rsid w:val="7F531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13B695B-F627-4812-A812-9F739DAA7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Style1"/>
    <w:qFormat/>
    <w:pPr>
      <w:kinsoku w:val="0"/>
      <w:autoSpaceDE w:val="0"/>
      <w:autoSpaceDN w:val="0"/>
      <w:adjustRightInd w:val="0"/>
      <w:snapToGrid w:val="0"/>
      <w:spacing w:line="360" w:lineRule="auto"/>
      <w:ind w:firstLineChars="200" w:firstLine="420"/>
      <w:textAlignment w:val="baseline"/>
    </w:pPr>
    <w:rPr>
      <w:rFonts w:cs="Arial"/>
      <w:snapToGrid w:val="0"/>
      <w:color w:val="000000"/>
      <w:sz w:val="24"/>
      <w:szCs w:val="21"/>
    </w:rPr>
  </w:style>
  <w:style w:type="paragraph" w:styleId="1">
    <w:name w:val="heading 1"/>
    <w:basedOn w:val="a0"/>
    <w:next w:val="a0"/>
    <w:link w:val="1Char"/>
    <w:qFormat/>
    <w:pPr>
      <w:keepNext/>
      <w:keepLines/>
      <w:spacing w:before="340" w:after="330"/>
      <w:outlineLvl w:val="0"/>
    </w:pPr>
    <w:rPr>
      <w:rFonts w:eastAsia="黑体"/>
      <w:b/>
      <w:kern w:val="44"/>
      <w:sz w:val="30"/>
    </w:rPr>
  </w:style>
  <w:style w:type="paragraph" w:styleId="2">
    <w:name w:val="heading 2"/>
    <w:basedOn w:val="a0"/>
    <w:next w:val="a0"/>
    <w:link w:val="2Char"/>
    <w:unhideWhenUsed/>
    <w:qFormat/>
    <w:pPr>
      <w:keepNext/>
      <w:keepLines/>
      <w:spacing w:before="260" w:after="260" w:line="413" w:lineRule="auto"/>
      <w:outlineLvl w:val="1"/>
    </w:pPr>
    <w:rPr>
      <w:rFonts w:eastAsia="黑体"/>
      <w:b/>
      <w:sz w:val="28"/>
    </w:rPr>
  </w:style>
  <w:style w:type="paragraph" w:styleId="3">
    <w:name w:val="heading 3"/>
    <w:basedOn w:val="a0"/>
    <w:next w:val="a0"/>
    <w:link w:val="3Char"/>
    <w:unhideWhenUsed/>
    <w:qFormat/>
    <w:pPr>
      <w:keepNext/>
      <w:keepLines/>
      <w:spacing w:before="260" w:after="260" w:line="413" w:lineRule="auto"/>
      <w:outlineLvl w:val="2"/>
    </w:pPr>
    <w:rPr>
      <w:rFonts w:eastAsia="黑体"/>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_Style 1"/>
    <w:uiPriority w:val="1"/>
    <w:qFormat/>
    <w:pPr>
      <w:widowControl w:val="0"/>
      <w:ind w:rightChars="8" w:right="22" w:firstLine="640"/>
    </w:pPr>
    <w:rPr>
      <w:rFonts w:ascii="仿宋_GB2312" w:eastAsia="仿宋_GB2312" w:hAnsi="宋体" w:cstheme="minorBidi"/>
      <w:kern w:val="2"/>
      <w:sz w:val="28"/>
      <w:szCs w:val="28"/>
    </w:rPr>
  </w:style>
  <w:style w:type="paragraph" w:styleId="30">
    <w:name w:val="toc 3"/>
    <w:basedOn w:val="a0"/>
    <w:next w:val="a0"/>
    <w:qFormat/>
    <w:pPr>
      <w:ind w:leftChars="400" w:left="840"/>
    </w:pPr>
  </w:style>
  <w:style w:type="paragraph" w:styleId="a4">
    <w:name w:val="footer"/>
    <w:basedOn w:val="a0"/>
    <w:qFormat/>
    <w:pPr>
      <w:tabs>
        <w:tab w:val="center" w:pos="4153"/>
        <w:tab w:val="right" w:pos="8306"/>
      </w:tabs>
    </w:pPr>
    <w:rPr>
      <w:sz w:val="18"/>
    </w:rPr>
  </w:style>
  <w:style w:type="paragraph" w:styleId="a5">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pacing w:line="240" w:lineRule="auto"/>
      <w:jc w:val="both"/>
    </w:pPr>
    <w:rPr>
      <w:sz w:val="18"/>
    </w:rPr>
  </w:style>
  <w:style w:type="paragraph" w:styleId="10">
    <w:name w:val="toc 1"/>
    <w:basedOn w:val="a0"/>
    <w:next w:val="a0"/>
    <w:qFormat/>
  </w:style>
  <w:style w:type="paragraph" w:styleId="20">
    <w:name w:val="toc 2"/>
    <w:basedOn w:val="a0"/>
    <w:next w:val="a0"/>
    <w:qFormat/>
    <w:pPr>
      <w:ind w:leftChars="200" w:left="420"/>
    </w:pPr>
  </w:style>
  <w:style w:type="paragraph" w:styleId="a6">
    <w:name w:val="Normal (Web)"/>
    <w:basedOn w:val="a0"/>
    <w:pPr>
      <w:spacing w:beforeAutospacing="1" w:afterAutospacing="1"/>
    </w:pPr>
    <w:rPr>
      <w:rFonts w:cs="Times New Roman"/>
    </w:rPr>
  </w:style>
  <w:style w:type="character" w:styleId="a7">
    <w:name w:val="Hyperlink"/>
    <w:uiPriority w:val="99"/>
    <w:qFormat/>
    <w:rPr>
      <w:color w:val="000000"/>
      <w:u w:val="none"/>
    </w:rPr>
  </w:style>
  <w:style w:type="paragraph" w:customStyle="1" w:styleId="a8">
    <w:name w:val="表格"/>
    <w:basedOn w:val="a0"/>
    <w:qFormat/>
    <w:pPr>
      <w:spacing w:line="240" w:lineRule="auto"/>
      <w:ind w:firstLineChars="0" w:firstLine="0"/>
      <w:jc w:val="center"/>
    </w:pPr>
    <w:rPr>
      <w:rFonts w:ascii="仿宋" w:hAnsi="仿宋" w:cs="仿宋" w:hint="eastAsia"/>
      <w:sz w:val="21"/>
      <w:szCs w:val="28"/>
      <w:lang w:val="zh-CN" w:bidi="zh-CN"/>
    </w:rPr>
  </w:style>
  <w:style w:type="paragraph" w:customStyle="1" w:styleId="a">
    <w:name w:val="一级条标题"/>
    <w:next w:val="a9"/>
    <w:qFormat/>
    <w:pPr>
      <w:numPr>
        <w:ilvl w:val="1"/>
        <w:numId w:val="1"/>
      </w:numPr>
      <w:spacing w:beforeLines="50" w:before="156" w:afterLines="50" w:after="156" w:line="252" w:lineRule="auto"/>
      <w:outlineLvl w:val="2"/>
    </w:pPr>
    <w:rPr>
      <w:rFonts w:ascii="黑体" w:eastAsia="黑体" w:hAnsi="Cambria"/>
      <w:sz w:val="21"/>
      <w:szCs w:val="21"/>
    </w:rPr>
  </w:style>
  <w:style w:type="paragraph" w:customStyle="1" w:styleId="a9">
    <w:name w:val="段"/>
    <w:qFormat/>
    <w:pPr>
      <w:tabs>
        <w:tab w:val="center" w:pos="4201"/>
        <w:tab w:val="right" w:leader="dot" w:pos="9298"/>
      </w:tabs>
      <w:autoSpaceDE w:val="0"/>
      <w:autoSpaceDN w:val="0"/>
      <w:spacing w:after="200" w:line="252" w:lineRule="auto"/>
      <w:ind w:firstLineChars="200" w:firstLine="420"/>
      <w:jc w:val="both"/>
    </w:pPr>
    <w:rPr>
      <w:rFonts w:ascii="宋体" w:hAnsi="Cambria"/>
      <w:sz w:val="21"/>
      <w:szCs w:val="22"/>
    </w:rPr>
  </w:style>
  <w:style w:type="character" w:customStyle="1" w:styleId="fontstyle01">
    <w:name w:val="fontstyle01"/>
    <w:basedOn w:val="a1"/>
    <w:qFormat/>
    <w:rPr>
      <w:rFonts w:ascii="楷体_GB2312" w:eastAsia="楷体_GB2312" w:hAnsi="楷体_GB2312" w:cs="楷体_GB2312"/>
      <w:color w:val="000000"/>
      <w:sz w:val="32"/>
      <w:szCs w:val="32"/>
    </w:rPr>
  </w:style>
  <w:style w:type="character" w:customStyle="1" w:styleId="3Char">
    <w:name w:val="标题 3 Char"/>
    <w:link w:val="3"/>
    <w:qFormat/>
    <w:rPr>
      <w:rFonts w:eastAsia="黑体"/>
      <w:b/>
      <w:sz w:val="24"/>
    </w:rPr>
  </w:style>
  <w:style w:type="character" w:customStyle="1" w:styleId="2Char">
    <w:name w:val="标题 2 Char"/>
    <w:link w:val="2"/>
    <w:qFormat/>
    <w:rPr>
      <w:rFonts w:eastAsia="黑体"/>
      <w:b/>
      <w:sz w:val="28"/>
    </w:rPr>
  </w:style>
  <w:style w:type="character" w:customStyle="1" w:styleId="fontstyle21">
    <w:name w:val="fontstyle21"/>
    <w:basedOn w:val="a1"/>
    <w:qFormat/>
    <w:rPr>
      <w:rFonts w:ascii="TimesNewRomanPSMT" w:eastAsia="TimesNewRomanPSMT" w:hAnsi="TimesNewRomanPSMT" w:cs="TimesNewRomanPSMT"/>
      <w:color w:val="000000"/>
      <w:sz w:val="32"/>
      <w:szCs w:val="3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character" w:customStyle="1" w:styleId="1Char">
    <w:name w:val="标题 1 Char"/>
    <w:link w:val="1"/>
    <w:qFormat/>
    <w:rPr>
      <w:rFonts w:eastAsia="黑体"/>
      <w:b/>
      <w:kern w:val="44"/>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1604</Words>
  <Characters>9149</Characters>
  <Application>Microsoft Office Word</Application>
  <DocSecurity>0</DocSecurity>
  <Lines>76</Lines>
  <Paragraphs>21</Paragraphs>
  <ScaleCrop>false</ScaleCrop>
  <Company>HP</Company>
  <LinksUpToDate>false</LinksUpToDate>
  <CharactersWithSpaces>10732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s'su's</dc:creator>
  <cp:lastModifiedBy>刘洲君</cp:lastModifiedBy>
  <cp:revision>3</cp:revision>
  <dcterms:created xsi:type="dcterms:W3CDTF">2023-06-09T09:23:00Z</dcterms:created>
  <dcterms:modified xsi:type="dcterms:W3CDTF">2023-06-09T09:23:00Z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5F75CD3EAFC044A68F9364CC368DD9CF_13</vt:lpwstr>
  </property>
</Properties>
</file>