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附件:</w:t>
      </w:r>
    </w:p>
    <w:tbl>
      <w:tblPr>
        <w:tblStyle w:val="3"/>
        <w:tblW w:w="8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3282"/>
        <w:gridCol w:w="1570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858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643" w:firstLineChars="200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定期存款银行评分表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2" w:firstLineChars="200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类别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2" w:firstLineChars="200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分项指标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2" w:firstLineChars="200"/>
              <w:jc w:val="both"/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权重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241" w:firstLineChars="100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权重合计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20" w:firstLineChars="200"/>
              <w:jc w:val="both"/>
            </w:pPr>
          </w:p>
          <w:p>
            <w:pPr>
              <w:widowControl/>
              <w:spacing w:before="100" w:beforeAutospacing="1" w:after="100" w:afterAutospacing="1" w:line="360" w:lineRule="auto"/>
              <w:ind w:firstLine="420" w:firstLineChars="200"/>
              <w:jc w:val="both"/>
            </w:pPr>
          </w:p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经营状况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净资产总额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9%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435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tabs>
                <w:tab w:val="left" w:pos="435"/>
              </w:tabs>
              <w:spacing w:before="100" w:beforeAutospacing="1" w:after="100" w:afterAutospacing="1" w:line="36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/>
                <w:sz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资本充足率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9%</w:t>
            </w: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/>
                <w:sz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不良贷款率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9%</w:t>
            </w: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/>
                <w:sz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资产利润率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9%</w:t>
            </w: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/>
                <w:sz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流动性比例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9%</w:t>
            </w: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9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服务水平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支付结算能力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4%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42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tabs>
                <w:tab w:val="left" w:pos="420"/>
              </w:tabs>
              <w:spacing w:before="100" w:beforeAutospacing="1" w:after="100" w:afterAutospacing="1" w:line="36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/>
                <w:sz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对账、分账核算能力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4%</w:t>
            </w: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/>
                <w:sz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客户服务数量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4%</w:t>
            </w: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/>
                <w:sz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服务响应效率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8%</w:t>
            </w:r>
          </w:p>
        </w:tc>
        <w:tc>
          <w:tcPr>
            <w:tcW w:w="1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利率水平</w:t>
            </w:r>
          </w:p>
        </w:tc>
        <w:tc>
          <w:tcPr>
            <w:tcW w:w="3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承诺定期存款利率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both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35%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35%</w:t>
            </w:r>
          </w:p>
        </w:tc>
      </w:tr>
    </w:tbl>
    <w:p>
      <w:pPr>
        <w:spacing w:line="360" w:lineRule="auto"/>
        <w:ind w:firstLine="480" w:firstLineChars="200"/>
        <w:rPr>
          <w:vanish/>
          <w:sz w:val="24"/>
        </w:rPr>
      </w:pPr>
    </w:p>
    <w:tbl>
      <w:tblPr>
        <w:tblStyle w:val="3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7891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spacing w:line="360" w:lineRule="auto"/>
        <w:ind w:firstLine="420" w:firstLineChars="2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MmVhM2UyMzUwNmFkNGUyZGUwOTIzZDQyMmU1YjgifQ=="/>
  </w:docVars>
  <w:rsids>
    <w:rsidRoot w:val="2172140B"/>
    <w:rsid w:val="217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2023-03-06T01:28:00Z</dcterms:created>
  <dc:creator>王尒苓</dc:creator>
  <cp:lastModifiedBy>王尒苓</cp:lastModifiedBy>
  <dcterms:modified xsi:type="dcterms:W3CDTF">2023-03-06T01:29:10Z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D606DC46A30840ABB8710B3BBF72E019</vt:lpwstr>
  </property>
</Properties>
</file>