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7" w:leftChars="-171" w:right="-512" w:rightChars="-244" w:hanging="386" w:hangingChars="74"/>
        <w:jc w:val="center"/>
        <w:rPr>
          <w:rFonts w:ascii="宋体" w:hAnsi="宋体" w:eastAsia="宋体" w:cs="Arial"/>
          <w:b/>
          <w:sz w:val="52"/>
          <w:szCs w:val="52"/>
        </w:rPr>
      </w:pPr>
    </w:p>
    <w:p>
      <w:pPr>
        <w:ind w:left="27" w:leftChars="-171" w:right="-512" w:rightChars="-244" w:hanging="386" w:hangingChars="74"/>
        <w:jc w:val="center"/>
        <w:rPr>
          <w:rFonts w:hint="eastAsia" w:ascii="宋体" w:hAnsi="宋体" w:eastAsia="宋体" w:cs="Arial"/>
          <w:b/>
          <w:sz w:val="52"/>
          <w:szCs w:val="52"/>
        </w:rPr>
      </w:pPr>
      <w:r>
        <w:rPr>
          <w:rFonts w:hint="eastAsia" w:ascii="宋体" w:hAnsi="宋体" w:eastAsia="宋体" w:cs="Arial"/>
          <w:b/>
          <w:sz w:val="52"/>
          <w:szCs w:val="52"/>
        </w:rPr>
        <w:t>农业投入品</w:t>
      </w:r>
      <w:r>
        <w:rPr>
          <w:rFonts w:hint="eastAsia" w:ascii="宋体" w:hAnsi="宋体" w:eastAsia="宋体" w:cs="Arial"/>
          <w:b/>
          <w:sz w:val="52"/>
          <w:szCs w:val="52"/>
          <w:lang w:val="en-US" w:eastAsia="zh-CN"/>
        </w:rPr>
        <w:t>采购第二次</w:t>
      </w:r>
    </w:p>
    <w:p>
      <w:pPr>
        <w:ind w:left="27" w:leftChars="-171" w:right="-512" w:rightChars="-244" w:hanging="386" w:hangingChars="74"/>
        <w:jc w:val="center"/>
        <w:rPr>
          <w:rFonts w:ascii="宋体" w:hAnsi="宋体" w:eastAsia="宋体" w:cs="Arial"/>
          <w:b/>
          <w:sz w:val="52"/>
          <w:szCs w:val="52"/>
        </w:rPr>
      </w:pPr>
    </w:p>
    <w:p>
      <w:pPr>
        <w:ind w:left="27" w:leftChars="-171" w:right="-512" w:rightChars="-244" w:hanging="386" w:hangingChars="74"/>
        <w:jc w:val="center"/>
        <w:rPr>
          <w:rFonts w:ascii="宋体" w:hAnsi="宋体" w:eastAsia="宋体" w:cs="Arial"/>
          <w:b/>
          <w:sz w:val="52"/>
          <w:szCs w:val="52"/>
        </w:rPr>
      </w:pPr>
    </w:p>
    <w:p>
      <w:pPr>
        <w:ind w:left="27" w:leftChars="-171" w:right="-512" w:rightChars="-244" w:hanging="386" w:hangingChars="74"/>
        <w:jc w:val="center"/>
        <w:rPr>
          <w:rFonts w:ascii="宋体" w:hAnsi="宋体" w:eastAsia="宋体" w:cs="Arial"/>
          <w:b/>
          <w:sz w:val="52"/>
          <w:szCs w:val="52"/>
        </w:rPr>
      </w:pPr>
      <w:r>
        <w:rPr>
          <w:rFonts w:hint="eastAsia" w:ascii="宋体" w:hAnsi="宋体" w:eastAsia="宋体" w:cs="Arial"/>
          <w:b/>
          <w:sz w:val="52"/>
          <w:szCs w:val="52"/>
        </w:rPr>
        <w:t>询</w:t>
      </w:r>
    </w:p>
    <w:p>
      <w:pPr>
        <w:ind w:left="27" w:leftChars="-171" w:right="-512" w:rightChars="-244" w:hanging="386" w:hangingChars="74"/>
        <w:jc w:val="center"/>
        <w:rPr>
          <w:rFonts w:ascii="宋体" w:hAnsi="宋体" w:eastAsia="宋体" w:cs="Arial"/>
          <w:b/>
          <w:sz w:val="52"/>
          <w:szCs w:val="52"/>
        </w:rPr>
      </w:pPr>
      <w:r>
        <w:rPr>
          <w:rFonts w:hint="eastAsia" w:ascii="宋体" w:hAnsi="宋体" w:eastAsia="宋体" w:cs="Arial"/>
          <w:b/>
          <w:sz w:val="52"/>
          <w:szCs w:val="52"/>
        </w:rPr>
        <w:t>价</w:t>
      </w:r>
    </w:p>
    <w:p>
      <w:pPr>
        <w:ind w:left="27" w:leftChars="-171" w:right="-512" w:rightChars="-244" w:hanging="386" w:hangingChars="74"/>
        <w:jc w:val="center"/>
        <w:rPr>
          <w:rFonts w:ascii="宋体" w:hAnsi="宋体" w:eastAsia="宋体" w:cs="Arial"/>
          <w:b/>
          <w:sz w:val="52"/>
          <w:szCs w:val="52"/>
        </w:rPr>
      </w:pPr>
      <w:r>
        <w:rPr>
          <w:rFonts w:hint="eastAsia" w:ascii="宋体" w:hAnsi="宋体" w:eastAsia="宋体" w:cs="Arial"/>
          <w:b/>
          <w:sz w:val="52"/>
          <w:szCs w:val="52"/>
        </w:rPr>
        <w:t>文</w:t>
      </w:r>
    </w:p>
    <w:p>
      <w:pPr>
        <w:ind w:left="27" w:leftChars="-171" w:right="-512" w:rightChars="-244" w:hanging="386" w:hangingChars="74"/>
        <w:jc w:val="center"/>
        <w:rPr>
          <w:rFonts w:ascii="宋体" w:hAnsi="宋体" w:eastAsia="宋体" w:cs="Arial"/>
          <w:b/>
          <w:sz w:val="52"/>
          <w:szCs w:val="52"/>
        </w:rPr>
      </w:pPr>
      <w:r>
        <w:rPr>
          <w:rFonts w:hint="eastAsia" w:ascii="宋体" w:hAnsi="宋体" w:eastAsia="宋体" w:cs="Arial"/>
          <w:b/>
          <w:sz w:val="52"/>
          <w:szCs w:val="52"/>
        </w:rPr>
        <w:t>件</w:t>
      </w:r>
    </w:p>
    <w:p>
      <w:pPr>
        <w:ind w:left="27" w:leftChars="-171" w:right="-512" w:rightChars="-244" w:hanging="386" w:hangingChars="74"/>
        <w:jc w:val="center"/>
        <w:rPr>
          <w:rFonts w:ascii="宋体" w:hAnsi="宋体" w:eastAsia="宋体" w:cs="Arial"/>
          <w:b/>
          <w:sz w:val="52"/>
          <w:szCs w:val="52"/>
        </w:rPr>
      </w:pPr>
    </w:p>
    <w:p>
      <w:pPr>
        <w:ind w:left="27" w:leftChars="-171" w:right="-512" w:rightChars="-244" w:hanging="386" w:hangingChars="74"/>
        <w:jc w:val="center"/>
        <w:rPr>
          <w:rFonts w:ascii="宋体" w:hAnsi="宋体" w:eastAsia="宋体" w:cs="Arial"/>
          <w:b/>
          <w:sz w:val="52"/>
          <w:szCs w:val="52"/>
        </w:rPr>
      </w:pPr>
    </w:p>
    <w:p>
      <w:pPr>
        <w:ind w:left="27" w:leftChars="-171" w:right="-512" w:rightChars="-244" w:hanging="386" w:hangingChars="74"/>
        <w:jc w:val="center"/>
        <w:rPr>
          <w:rFonts w:ascii="宋体" w:hAnsi="宋体" w:eastAsia="宋体" w:cs="Arial"/>
          <w:b/>
          <w:sz w:val="52"/>
          <w:szCs w:val="52"/>
        </w:rPr>
      </w:pPr>
    </w:p>
    <w:p>
      <w:pPr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采购询价单位：广东省科学院生态环境与土壤研究所</w:t>
      </w:r>
    </w:p>
    <w:p>
      <w:pPr>
        <w:jc w:val="center"/>
        <w:rPr>
          <w:rFonts w:ascii="Times New Roman" w:hAnsi="Times New Roman" w:eastAsia="宋体" w:cs="Times New Roman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宋体" w:cs="Times New Roman"/>
          <w:sz w:val="32"/>
          <w:szCs w:val="32"/>
        </w:rPr>
        <w:t>2</w:t>
      </w:r>
      <w:r>
        <w:rPr>
          <w:rFonts w:ascii="Times New Roman" w:hAnsi="Times New Roman" w:eastAsia="宋体" w:cs="Times New Roman"/>
          <w:sz w:val="32"/>
          <w:szCs w:val="32"/>
        </w:rPr>
        <w:t>023</w:t>
      </w:r>
      <w:r>
        <w:rPr>
          <w:rFonts w:hint="eastAsia" w:ascii="Times New Roman" w:hAnsi="Times New Roman" w:eastAsia="宋体" w:cs="Times New Roman"/>
          <w:sz w:val="32"/>
          <w:szCs w:val="32"/>
        </w:rPr>
        <w:t>年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32"/>
          <w:szCs w:val="32"/>
        </w:rPr>
        <w:t>月</w:t>
      </w:r>
    </w:p>
    <w:p>
      <w:pPr>
        <w:pStyle w:val="11"/>
      </w:pPr>
      <w:r>
        <w:rPr>
          <w:rFonts w:hint="eastAsia"/>
        </w:rPr>
        <w:t>第一部分</w:t>
      </w:r>
      <w:r>
        <w:t xml:space="preserve"> 询价邀请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由于</w:t>
      </w:r>
      <w:r>
        <w:rPr>
          <w:rFonts w:hint="eastAsia" w:ascii="Times New Roman" w:hAnsi="Times New Roman" w:eastAsia="宋体" w:cs="Times New Roman"/>
          <w:sz w:val="28"/>
          <w:szCs w:val="28"/>
        </w:rPr>
        <w:t>为规范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我所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承担的</w:t>
      </w:r>
      <w:r>
        <w:rPr>
          <w:rFonts w:hint="eastAsia" w:ascii="Times New Roman" w:hAnsi="Times New Roman" w:eastAsia="宋体" w:cs="Times New Roman"/>
          <w:sz w:val="28"/>
          <w:szCs w:val="28"/>
        </w:rPr>
        <w:t>“</w:t>
      </w:r>
      <w:r>
        <w:rPr>
          <w:rFonts w:ascii="Times New Roman" w:hAnsi="Times New Roman" w:eastAsia="宋体" w:cs="Times New Roman"/>
          <w:sz w:val="28"/>
          <w:szCs w:val="28"/>
        </w:rPr>
        <w:t>2022年清远市清城区受污染耕地安全利用项目</w:t>
      </w:r>
      <w:r>
        <w:rPr>
          <w:rFonts w:hint="eastAsia" w:ascii="Times New Roman" w:hAnsi="Times New Roman" w:eastAsia="宋体" w:cs="Times New Roman"/>
          <w:sz w:val="28"/>
          <w:szCs w:val="28"/>
        </w:rPr>
        <w:t>”涉及</w:t>
      </w:r>
      <w:r>
        <w:rPr>
          <w:rFonts w:ascii="Times New Roman" w:hAnsi="Times New Roman" w:eastAsia="宋体" w:cs="Times New Roman"/>
          <w:sz w:val="28"/>
          <w:szCs w:val="28"/>
        </w:rPr>
        <w:t>的农业投入品</w:t>
      </w:r>
      <w:r>
        <w:rPr>
          <w:rFonts w:hint="eastAsia" w:ascii="Times New Roman" w:hAnsi="Times New Roman" w:eastAsia="宋体" w:cs="Times New Roman"/>
          <w:sz w:val="28"/>
          <w:szCs w:val="28"/>
        </w:rPr>
        <w:t>采购，确保采购品质和控制采购成本，现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进行</w:t>
      </w:r>
      <w:r>
        <w:rPr>
          <w:rFonts w:ascii="Times New Roman" w:hAnsi="Times New Roman" w:eastAsia="宋体" w:cs="Times New Roman"/>
          <w:sz w:val="28"/>
          <w:szCs w:val="28"/>
        </w:rPr>
        <w:t>采购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第二次</w:t>
      </w:r>
      <w:r>
        <w:rPr>
          <w:rFonts w:ascii="Times New Roman" w:hAnsi="Times New Roman" w:eastAsia="宋体" w:cs="Times New Roman"/>
          <w:sz w:val="28"/>
          <w:szCs w:val="28"/>
        </w:rPr>
        <w:t>询价</w:t>
      </w:r>
      <w:r>
        <w:rPr>
          <w:rFonts w:hint="eastAsia" w:ascii="Times New Roman" w:hAnsi="Times New Roman" w:eastAsia="宋体" w:cs="Times New Roman"/>
          <w:sz w:val="28"/>
          <w:szCs w:val="28"/>
        </w:rPr>
        <w:t>。供应商需按照本文件要求，</w:t>
      </w:r>
      <w:r>
        <w:rPr>
          <w:rFonts w:ascii="Times New Roman" w:hAnsi="Times New Roman" w:eastAsia="宋体" w:cs="Times New Roman"/>
          <w:sz w:val="28"/>
          <w:szCs w:val="28"/>
        </w:rPr>
        <w:t>提供相关</w:t>
      </w:r>
      <w:r>
        <w:rPr>
          <w:rFonts w:hint="eastAsia" w:ascii="Times New Roman" w:hAnsi="Times New Roman" w:eastAsia="宋体" w:cs="Times New Roman"/>
          <w:sz w:val="28"/>
          <w:szCs w:val="28"/>
        </w:rPr>
        <w:t>响应文件及报价</w:t>
      </w:r>
      <w:r>
        <w:rPr>
          <w:rFonts w:ascii="Times New Roman" w:hAnsi="Times New Roman" w:eastAsia="宋体" w:cs="Times New Roman"/>
          <w:sz w:val="28"/>
          <w:szCs w:val="28"/>
        </w:rPr>
        <w:t>。</w:t>
      </w:r>
      <w:r>
        <w:rPr>
          <w:rFonts w:hint="eastAsia" w:ascii="Times New Roman" w:hAnsi="Times New Roman" w:eastAsia="宋体" w:cs="Times New Roman"/>
          <w:sz w:val="28"/>
          <w:szCs w:val="28"/>
        </w:rPr>
        <w:t>我单位</w:t>
      </w:r>
      <w:r>
        <w:rPr>
          <w:rFonts w:ascii="Times New Roman" w:hAnsi="Times New Roman" w:eastAsia="宋体" w:cs="Times New Roman"/>
          <w:sz w:val="28"/>
          <w:szCs w:val="28"/>
        </w:rPr>
        <w:t>将综合考虑各供应商的资质、服务、价格等因素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择优</w:t>
      </w:r>
      <w:r>
        <w:rPr>
          <w:rFonts w:ascii="Times New Roman" w:hAnsi="Times New Roman" w:eastAsia="宋体" w:cs="Times New Roman"/>
          <w:sz w:val="28"/>
          <w:szCs w:val="28"/>
        </w:rPr>
        <w:t>选择供应商。</w:t>
      </w:r>
      <w:r>
        <w:rPr>
          <w:rFonts w:hint="eastAsia" w:ascii="Times New Roman" w:hAnsi="Times New Roman" w:eastAsia="宋体" w:cs="Times New Roman"/>
          <w:sz w:val="28"/>
          <w:szCs w:val="28"/>
        </w:rPr>
        <w:t>欢迎具有独立承担民事责任能力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28"/>
          <w:szCs w:val="28"/>
        </w:rPr>
        <w:t>履行合同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能力的</w:t>
      </w:r>
      <w:r>
        <w:rPr>
          <w:rFonts w:hint="eastAsia" w:ascii="Times New Roman" w:hAnsi="Times New Roman" w:eastAsia="宋体" w:cs="Times New Roman"/>
          <w:sz w:val="28"/>
          <w:szCs w:val="28"/>
        </w:rPr>
        <w:t>潜在供应商参加报价。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一、采购产品名称：有机无机复混土壤调理剂、叶面阻控剂，共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8"/>
          <w:szCs w:val="28"/>
        </w:rPr>
        <w:t>种农业投入品。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二、采购项目总预算：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70.00</w:t>
      </w:r>
      <w:r>
        <w:rPr>
          <w:rFonts w:hint="eastAsia" w:ascii="Times New Roman" w:hAnsi="Times New Roman" w:eastAsia="宋体" w:cs="Times New Roman"/>
          <w:sz w:val="28"/>
          <w:szCs w:val="28"/>
        </w:rPr>
        <w:t>万元。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三、采购内容及需求：具体详见用户需求部分。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四、询价响应文件递交截止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及地点：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递交响应文件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截止日期</w:t>
      </w: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宋体" w:cs="Times New Roman"/>
          <w:sz w:val="28"/>
          <w:szCs w:val="28"/>
        </w:rPr>
        <w:t>2023年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23</w:t>
      </w:r>
      <w:r>
        <w:rPr>
          <w:rFonts w:hint="eastAsia" w:ascii="Times New Roman" w:hAnsi="Times New Roman" w:eastAsia="宋体" w:cs="Times New Roman"/>
          <w:sz w:val="28"/>
          <w:szCs w:val="28"/>
        </w:rPr>
        <w:t>日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邮寄以邮戳日期为准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递交响应文件地点：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广东省广州市天河区天源路808号4号楼109.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五、联系事项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采购单位联系人：窦飞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8"/>
        </w:rPr>
        <w:t>手机：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020-87582175</w:t>
      </w:r>
    </w:p>
    <w:p>
      <w:pPr>
        <w:pStyle w:val="2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pStyle w:val="2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pStyle w:val="2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pStyle w:val="2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jc w:val="right"/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广东省科学院生态环境与土壤研究所</w:t>
      </w:r>
    </w:p>
    <w:p>
      <w:pPr>
        <w:jc w:val="right"/>
        <w:rPr>
          <w:rFonts w:hint="eastAsia" w:eastAsia="宋体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20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23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日</w:t>
      </w:r>
    </w:p>
    <w:p>
      <w:pPr>
        <w:pStyle w:val="2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pStyle w:val="2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pStyle w:val="11"/>
      </w:pPr>
      <w:r>
        <w:rPr>
          <w:rFonts w:hint="eastAsia"/>
        </w:rPr>
        <w:t>第二部分</w:t>
      </w:r>
      <w:r>
        <w:t xml:space="preserve"> 用户需求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一、供应商资格：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1、供应商应具备《政府采购法》第二十二条所规定的条件：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1）具有独立承担民事责任的能力；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2）具有良好的商业信誉和健全的财务会计制度；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3）具有履行合同所必需的设备和专业技术能力；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4）有依法缴纳税收和社会保障资金的良好记录；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5）参加采购活动前三年内，在经营活动中没有重大违法记录；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6）法律、行政法规规定的其他条件。</w:t>
      </w:r>
    </w:p>
    <w:p>
      <w:pPr>
        <w:numPr>
          <w:ilvl w:val="0"/>
          <w:numId w:val="2"/>
        </w:numPr>
        <w:spacing w:line="560" w:lineRule="exact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供应商所报价产品应是最新产品，提供产品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2022年9月1日以后</w:t>
      </w:r>
      <w:r>
        <w:rPr>
          <w:rFonts w:ascii="Times New Roman" w:hAnsi="Times New Roman" w:eastAsia="宋体" w:cs="Times New Roman"/>
          <w:sz w:val="28"/>
          <w:szCs w:val="28"/>
        </w:rPr>
        <w:t>的质量检测</w:t>
      </w:r>
      <w:r>
        <w:rPr>
          <w:rFonts w:hint="eastAsia" w:ascii="Times New Roman" w:hAnsi="Times New Roman" w:eastAsia="宋体" w:cs="Times New Roman"/>
          <w:sz w:val="28"/>
          <w:szCs w:val="28"/>
        </w:rPr>
        <w:t>报告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。</w:t>
      </w:r>
    </w:p>
    <w:p>
      <w:pPr>
        <w:numPr>
          <w:ilvl w:val="0"/>
          <w:numId w:val="2"/>
        </w:num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供应商需提供近3年的</w:t>
      </w:r>
      <w:r>
        <w:rPr>
          <w:rFonts w:hint="eastAsia" w:ascii="Times New Roman" w:hAnsi="Times New Roman" w:eastAsia="宋体" w:cs="Times New Roman"/>
          <w:sz w:val="28"/>
          <w:szCs w:val="28"/>
        </w:rPr>
        <w:t>应用试验报告。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二、采购内容及需求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28"/>
          <w:szCs w:val="28"/>
        </w:rPr>
        <w:t>子包</w:t>
      </w:r>
      <w:r>
        <w:rPr>
          <w:rFonts w:ascii="Times New Roman" w:hAnsi="Times New Roman" w:eastAsia="宋体" w:cs="Times New Roman"/>
          <w:sz w:val="28"/>
          <w:szCs w:val="28"/>
        </w:rPr>
        <w:t>2</w:t>
      </w:r>
      <w:r>
        <w:rPr>
          <w:rFonts w:hint="eastAsia" w:ascii="Times New Roman" w:hAnsi="Times New Roman" w:eastAsia="宋体" w:cs="Times New Roman"/>
          <w:sz w:val="28"/>
          <w:szCs w:val="28"/>
        </w:rPr>
        <w:t>：</w:t>
      </w:r>
    </w:p>
    <w:tbl>
      <w:tblPr>
        <w:tblStyle w:val="15"/>
        <w:tblW w:w="85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1134"/>
        <w:gridCol w:w="2126"/>
        <w:gridCol w:w="2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序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农业投入品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数量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（吨）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总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金额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（万元）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产品参数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有机无机复混土壤调理剂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230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35.00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CaO≥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15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.0%；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有机质≥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.0%；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包装规格：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25kg/包</w:t>
            </w:r>
          </w:p>
        </w:tc>
      </w:tr>
    </w:tbl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8"/>
          <w:szCs w:val="28"/>
        </w:rPr>
        <w:t>、子包</w:t>
      </w:r>
      <w:r>
        <w:rPr>
          <w:rFonts w:ascii="Times New Roman" w:hAnsi="Times New Roman" w:eastAsia="宋体" w:cs="Times New Roman"/>
          <w:sz w:val="28"/>
          <w:szCs w:val="28"/>
        </w:rPr>
        <w:t>6</w:t>
      </w:r>
      <w:r>
        <w:rPr>
          <w:rFonts w:hint="eastAsia" w:ascii="Times New Roman" w:hAnsi="Times New Roman" w:eastAsia="宋体" w:cs="Times New Roman"/>
          <w:sz w:val="28"/>
          <w:szCs w:val="28"/>
        </w:rPr>
        <w:t>：</w:t>
      </w:r>
    </w:p>
    <w:tbl>
      <w:tblPr>
        <w:tblStyle w:val="15"/>
        <w:tblW w:w="85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1134"/>
        <w:gridCol w:w="2126"/>
        <w:gridCol w:w="2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序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农业投入品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数量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L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总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金额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（万元）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产品参数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叶面阻控剂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4000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35.00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Si≥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100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g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/L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；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pH：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.0-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.0；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包装规格：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25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sz w:val="28"/>
                <w:szCs w:val="28"/>
              </w:rPr>
              <w:t>L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/桶</w:t>
            </w:r>
          </w:p>
        </w:tc>
      </w:tr>
    </w:tbl>
    <w:p>
      <w:pPr>
        <w:spacing w:line="560" w:lineRule="exact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注：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1、以上报价为到货价格，需</w:t>
      </w:r>
      <w:r>
        <w:rPr>
          <w:rFonts w:ascii="Times New Roman" w:hAnsi="Times New Roman" w:eastAsia="宋体" w:cs="Times New Roman"/>
          <w:sz w:val="28"/>
          <w:szCs w:val="28"/>
        </w:rPr>
        <w:t>按采购方</w:t>
      </w:r>
      <w:r>
        <w:rPr>
          <w:rFonts w:hint="eastAsia" w:ascii="Times New Roman" w:hAnsi="Times New Roman" w:eastAsia="宋体" w:cs="Times New Roman"/>
          <w:sz w:val="28"/>
          <w:szCs w:val="28"/>
        </w:rPr>
        <w:t>实际的产品需求时间和地点交货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；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价格包含税费、运费等其他费用。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8"/>
          <w:szCs w:val="28"/>
        </w:rPr>
        <w:t>、各子包分别为独立整体，供应商可单独对其中之一进行报价，也可同时对多个子包进行报价，所有价格均应予人民币报价；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3、单个子供货数量不得低于采购需求，报价超过对应子包总金额为无效报价。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三、其他要求：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1、产品质保要求：质保期内供货商须提供质量“三包”服务。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</w:t>
      </w:r>
      <w:r>
        <w:rPr>
          <w:rFonts w:hint="eastAsia" w:ascii="Times New Roman" w:hAnsi="Times New Roman" w:eastAsia="宋体" w:cs="Times New Roman"/>
          <w:sz w:val="28"/>
          <w:szCs w:val="28"/>
        </w:rPr>
        <w:t>、交货时间、地点要求：签订合同后</w:t>
      </w:r>
      <w:r>
        <w:rPr>
          <w:rFonts w:ascii="Times New Roman" w:hAnsi="Times New Roman" w:eastAsia="宋体" w:cs="Times New Roman"/>
          <w:sz w:val="28"/>
          <w:szCs w:val="28"/>
        </w:rPr>
        <w:t>按采购方</w:t>
      </w:r>
      <w:r>
        <w:rPr>
          <w:rFonts w:hint="eastAsia" w:ascii="Times New Roman" w:hAnsi="Times New Roman" w:eastAsia="宋体" w:cs="Times New Roman"/>
          <w:sz w:val="28"/>
          <w:szCs w:val="28"/>
        </w:rPr>
        <w:t>实际的产品需求时间和地点交货并</w:t>
      </w:r>
      <w:r>
        <w:rPr>
          <w:rFonts w:ascii="Times New Roman" w:hAnsi="Times New Roman" w:eastAsia="宋体" w:cs="Times New Roman"/>
          <w:sz w:val="28"/>
          <w:szCs w:val="28"/>
        </w:rPr>
        <w:t>提供报销票据。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3、具体验收方式和付款方式，以合同签订为准。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p>
      <w:pPr>
        <w:widowControl/>
        <w:jc w:val="left"/>
      </w:pPr>
      <w:r>
        <w:br w:type="page"/>
      </w:r>
    </w:p>
    <w:p>
      <w:pPr>
        <w:pStyle w:val="11"/>
      </w:pPr>
      <w:r>
        <w:rPr>
          <w:rFonts w:hint="eastAsia"/>
        </w:rPr>
        <w:t>第三部分</w:t>
      </w:r>
      <w:r>
        <w:t xml:space="preserve"> </w:t>
      </w:r>
      <w:r>
        <w:rPr>
          <w:rFonts w:hint="eastAsia"/>
        </w:rPr>
        <w:t>评审</w:t>
      </w:r>
      <w:r>
        <w:t>办法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sz w:val="28"/>
          <w:szCs w:val="28"/>
        </w:rPr>
        <w:t>1、评审方法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sz w:val="28"/>
          <w:szCs w:val="28"/>
        </w:rPr>
        <w:t>（1）首先对报价人资格进行审查：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sz w:val="28"/>
          <w:szCs w:val="28"/>
        </w:rPr>
        <w:t>（2）其次对通过资格审查的报价文件进行评审。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sz w:val="28"/>
          <w:szCs w:val="28"/>
        </w:rPr>
        <w:t>2、评审原则</w:t>
      </w:r>
    </w:p>
    <w:p>
      <w:pPr>
        <w:ind w:firstLine="560" w:firstLineChars="200"/>
        <w:rPr>
          <w:rFonts w:hint="eastAsia" w:ascii="Times New Roman" w:hAnsi="Times New Roman" w:eastAsia="宋体" w:cs="Times New Roman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sz w:val="28"/>
          <w:szCs w:val="28"/>
        </w:rPr>
        <w:t>对提供服务均能满足询价文件规定要求的报价</w:t>
      </w:r>
      <w:r>
        <w:rPr>
          <w:rFonts w:hint="eastAsia" w:ascii="Times New Roman" w:hAnsi="Times New Roman" w:eastAsia="宋体" w:cs="Times New Roman"/>
          <w:bCs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同等参数配置条件下，考虑报价低者；同等报价条件下，考虑参数配置高和服务优者</w:t>
      </w:r>
      <w:r>
        <w:rPr>
          <w:rFonts w:hint="eastAsia" w:ascii="Times New Roman" w:hAnsi="Times New Roman" w:eastAsia="宋体" w:cs="Times New Roman"/>
          <w:bCs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各子包分别评比。</w:t>
      </w:r>
    </w:p>
    <w:p>
      <w:pPr>
        <w:widowControl/>
        <w:jc w:val="left"/>
      </w:pPr>
      <w:r>
        <w:br w:type="page"/>
      </w:r>
    </w:p>
    <w:p>
      <w:pPr>
        <w:pStyle w:val="11"/>
      </w:pPr>
      <w:r>
        <w:rPr>
          <w:rFonts w:hint="eastAsia"/>
        </w:rPr>
        <w:t>第四部分</w:t>
      </w:r>
      <w:r>
        <w:t xml:space="preserve"> 报价文件格式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一、报价文件编制要求：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报价文件采用A4纸印刷，装订成册。报价文件正本1份，副本</w:t>
      </w:r>
      <w:r>
        <w:rPr>
          <w:rFonts w:ascii="Times New Roman" w:hAnsi="Times New Roman" w:eastAsia="宋体" w:cs="Times New Roman"/>
          <w:sz w:val="28"/>
          <w:szCs w:val="28"/>
        </w:rPr>
        <w:t>1</w:t>
      </w:r>
      <w:r>
        <w:rPr>
          <w:rFonts w:hint="eastAsia" w:ascii="Times New Roman" w:hAnsi="Times New Roman" w:eastAsia="宋体" w:cs="Times New Roman"/>
          <w:sz w:val="28"/>
          <w:szCs w:val="28"/>
        </w:rPr>
        <w:t>份。正本和副本的封面上应清楚地标记“正本”或“副本”的字样。当副本和正本不一致时，以正本为准。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二、报价文件包含但并不局限于以下材料：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1、响应报价书</w:t>
      </w:r>
    </w:p>
    <w:p>
      <w:pPr>
        <w:pStyle w:val="2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2、资格条件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1）具有独立承担民事责任的能力；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2）具有良好的商业信誉和健全的财务会计制度；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3）具有履行合同所必需的设备和专业技术能力；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4）有依法缴纳税收和社会保障资金的良好记录；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5）参加采购活动前三年内，在经营活动中没有重大违法记录；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6）法律、行政法规规定的其他条件。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8"/>
          <w:szCs w:val="28"/>
        </w:rPr>
        <w:t>、法定代表人证明书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8"/>
          <w:szCs w:val="28"/>
        </w:rPr>
        <w:t>、授权委托书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</w:rPr>
        <w:t>、营业执照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 w:val="28"/>
          <w:szCs w:val="28"/>
        </w:rPr>
        <w:t>、产品质检报告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 w:val="28"/>
          <w:szCs w:val="28"/>
        </w:rPr>
        <w:t>、产品应用试验报告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sz w:val="28"/>
          <w:szCs w:val="28"/>
        </w:rPr>
        <w:t>、其他资料</w:t>
      </w:r>
    </w:p>
    <w:p>
      <w:pPr>
        <w:widowControl/>
        <w:jc w:val="left"/>
      </w:pPr>
      <w:r>
        <w:br w:type="page"/>
      </w:r>
    </w:p>
    <w:p>
      <w:pPr>
        <w:spacing w:line="360" w:lineRule="auto"/>
        <w:ind w:firstLine="723" w:firstLineChars="200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报价一览表（格式）</w:t>
      </w: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子包：</w:t>
      </w:r>
    </w:p>
    <w:tbl>
      <w:tblPr>
        <w:tblStyle w:val="15"/>
        <w:tblW w:w="99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268"/>
        <w:gridCol w:w="1417"/>
        <w:gridCol w:w="1211"/>
        <w:gridCol w:w="1766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序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农业投入品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数量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（吨）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单价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（元）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总价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（万元）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产品性质与参数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注：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1、以上报价为到货价格，需</w:t>
      </w:r>
      <w:r>
        <w:rPr>
          <w:rFonts w:ascii="Times New Roman" w:hAnsi="Times New Roman" w:eastAsia="宋体" w:cs="Times New Roman"/>
          <w:sz w:val="28"/>
          <w:szCs w:val="28"/>
        </w:rPr>
        <w:t>按采购方</w:t>
      </w:r>
      <w:r>
        <w:rPr>
          <w:rFonts w:hint="eastAsia" w:ascii="Times New Roman" w:hAnsi="Times New Roman" w:eastAsia="宋体" w:cs="Times New Roman"/>
          <w:sz w:val="28"/>
          <w:szCs w:val="28"/>
        </w:rPr>
        <w:t>实际的产品需求时间和地点交货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；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价格包含税费、运费等其他费用。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8"/>
          <w:szCs w:val="28"/>
        </w:rPr>
        <w:t>、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单个子供货数量不得低于采购需求，报价超过对应子包总金额为无效报价。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36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36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36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36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48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报 价 人（盖章）：</w:t>
      </w:r>
    </w:p>
    <w:p>
      <w:pPr>
        <w:spacing w:line="48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授权代表（签字）：</w:t>
      </w:r>
    </w:p>
    <w:p>
      <w:pPr>
        <w:spacing w:line="48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职    务：</w:t>
      </w:r>
    </w:p>
    <w:p>
      <w:pPr>
        <w:spacing w:line="480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日    期：    年   月   日</w:t>
      </w:r>
    </w:p>
    <w:p/>
    <w:sectPr>
      <w:headerReference r:id="rId6" w:type="first"/>
      <w:footerReference r:id="rId8" w:type="first"/>
      <w:headerReference r:id="rId4" w:type="default"/>
      <w:headerReference r:id="rId5" w:type="even"/>
      <w:footerReference r:id="rId7" w:type="even"/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?? Std R">
    <w:altName w:val="Arial"/>
    <w:panose1 w:val="00000000000000000000"/>
    <w:charset w:val="28"/>
    <w:family w:val="swiss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D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.漀...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正文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22022388"/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8"/>
          <w:adjustRightInd w:val="0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2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fldChar w:fldCharType="end"/>
    </w:r>
  </w:p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42911"/>
    <w:multiLevelType w:val="multilevel"/>
    <w:tmpl w:val="1C342911"/>
    <w:lvl w:ilvl="0" w:tentative="0">
      <w:start w:val="1"/>
      <w:numFmt w:val="chineseCountingThousand"/>
      <w:pStyle w:val="3"/>
      <w:suff w:val="space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4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6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644B9F94"/>
    <w:multiLevelType w:val="singleLevel"/>
    <w:tmpl w:val="644B9F9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109"/>
    <w:rsid w:val="0001762F"/>
    <w:rsid w:val="000248C4"/>
    <w:rsid w:val="00027219"/>
    <w:rsid w:val="00031EAF"/>
    <w:rsid w:val="000342BC"/>
    <w:rsid w:val="000416D6"/>
    <w:rsid w:val="000508AF"/>
    <w:rsid w:val="00061D46"/>
    <w:rsid w:val="00062327"/>
    <w:rsid w:val="000726AB"/>
    <w:rsid w:val="000A4AF1"/>
    <w:rsid w:val="000C642A"/>
    <w:rsid w:val="000D1090"/>
    <w:rsid w:val="000E0A0A"/>
    <w:rsid w:val="000E1315"/>
    <w:rsid w:val="000E6351"/>
    <w:rsid w:val="000E6C31"/>
    <w:rsid w:val="000F6617"/>
    <w:rsid w:val="001020C9"/>
    <w:rsid w:val="00137879"/>
    <w:rsid w:val="00141B73"/>
    <w:rsid w:val="0014682E"/>
    <w:rsid w:val="001506DB"/>
    <w:rsid w:val="001519B9"/>
    <w:rsid w:val="00151E1B"/>
    <w:rsid w:val="001526C2"/>
    <w:rsid w:val="001630FF"/>
    <w:rsid w:val="00166226"/>
    <w:rsid w:val="00172DDA"/>
    <w:rsid w:val="001741F1"/>
    <w:rsid w:val="00176665"/>
    <w:rsid w:val="001A2BC9"/>
    <w:rsid w:val="001A7761"/>
    <w:rsid w:val="001B5E49"/>
    <w:rsid w:val="001B6766"/>
    <w:rsid w:val="001F30BF"/>
    <w:rsid w:val="00207802"/>
    <w:rsid w:val="002145BB"/>
    <w:rsid w:val="0021588A"/>
    <w:rsid w:val="0022780C"/>
    <w:rsid w:val="002303B8"/>
    <w:rsid w:val="0024021A"/>
    <w:rsid w:val="00245585"/>
    <w:rsid w:val="00251C32"/>
    <w:rsid w:val="002544D1"/>
    <w:rsid w:val="00263B5B"/>
    <w:rsid w:val="00265CA9"/>
    <w:rsid w:val="00297808"/>
    <w:rsid w:val="002A446A"/>
    <w:rsid w:val="002A47D0"/>
    <w:rsid w:val="002B45C5"/>
    <w:rsid w:val="002C1EFF"/>
    <w:rsid w:val="002D4509"/>
    <w:rsid w:val="002D7384"/>
    <w:rsid w:val="00304957"/>
    <w:rsid w:val="00314429"/>
    <w:rsid w:val="00317D7D"/>
    <w:rsid w:val="00334A0D"/>
    <w:rsid w:val="003415D2"/>
    <w:rsid w:val="00343584"/>
    <w:rsid w:val="003521CE"/>
    <w:rsid w:val="00363443"/>
    <w:rsid w:val="003660BC"/>
    <w:rsid w:val="003709AD"/>
    <w:rsid w:val="00373CCB"/>
    <w:rsid w:val="00374445"/>
    <w:rsid w:val="00374E97"/>
    <w:rsid w:val="0037769D"/>
    <w:rsid w:val="00382361"/>
    <w:rsid w:val="003831D1"/>
    <w:rsid w:val="00390849"/>
    <w:rsid w:val="003A33AC"/>
    <w:rsid w:val="003A75A9"/>
    <w:rsid w:val="003D745C"/>
    <w:rsid w:val="003E6DDD"/>
    <w:rsid w:val="00416765"/>
    <w:rsid w:val="00433775"/>
    <w:rsid w:val="00434B0E"/>
    <w:rsid w:val="00444AB1"/>
    <w:rsid w:val="00452E76"/>
    <w:rsid w:val="00493BA9"/>
    <w:rsid w:val="004B6565"/>
    <w:rsid w:val="004C3253"/>
    <w:rsid w:val="004D2FDE"/>
    <w:rsid w:val="004D63E9"/>
    <w:rsid w:val="004E1F4F"/>
    <w:rsid w:val="005573E3"/>
    <w:rsid w:val="00562AB1"/>
    <w:rsid w:val="00563B58"/>
    <w:rsid w:val="00570337"/>
    <w:rsid w:val="0057077B"/>
    <w:rsid w:val="00572FD6"/>
    <w:rsid w:val="005874C7"/>
    <w:rsid w:val="0059349D"/>
    <w:rsid w:val="00596DF4"/>
    <w:rsid w:val="005A574B"/>
    <w:rsid w:val="005B0487"/>
    <w:rsid w:val="005B7286"/>
    <w:rsid w:val="005F24B1"/>
    <w:rsid w:val="005F4F85"/>
    <w:rsid w:val="00605744"/>
    <w:rsid w:val="00616598"/>
    <w:rsid w:val="00632591"/>
    <w:rsid w:val="0064093F"/>
    <w:rsid w:val="00664AF5"/>
    <w:rsid w:val="006815D6"/>
    <w:rsid w:val="006B4621"/>
    <w:rsid w:val="006C0935"/>
    <w:rsid w:val="006D58E2"/>
    <w:rsid w:val="006E27F8"/>
    <w:rsid w:val="006F71AF"/>
    <w:rsid w:val="00716C87"/>
    <w:rsid w:val="00726144"/>
    <w:rsid w:val="00753781"/>
    <w:rsid w:val="00757FAA"/>
    <w:rsid w:val="007641F4"/>
    <w:rsid w:val="00764D3A"/>
    <w:rsid w:val="00774480"/>
    <w:rsid w:val="007825BB"/>
    <w:rsid w:val="00790025"/>
    <w:rsid w:val="00790F58"/>
    <w:rsid w:val="0079656B"/>
    <w:rsid w:val="007A1305"/>
    <w:rsid w:val="007B5C3F"/>
    <w:rsid w:val="007C7F9F"/>
    <w:rsid w:val="007D3BC1"/>
    <w:rsid w:val="007E1DA8"/>
    <w:rsid w:val="007E5DAE"/>
    <w:rsid w:val="00826167"/>
    <w:rsid w:val="00830ACD"/>
    <w:rsid w:val="0084553D"/>
    <w:rsid w:val="00852563"/>
    <w:rsid w:val="00887112"/>
    <w:rsid w:val="008A088F"/>
    <w:rsid w:val="008B25EB"/>
    <w:rsid w:val="008B38DE"/>
    <w:rsid w:val="008B4F64"/>
    <w:rsid w:val="008D015E"/>
    <w:rsid w:val="008D28CB"/>
    <w:rsid w:val="008E5B52"/>
    <w:rsid w:val="00912BED"/>
    <w:rsid w:val="00916D15"/>
    <w:rsid w:val="0092772D"/>
    <w:rsid w:val="00933F69"/>
    <w:rsid w:val="00934CF1"/>
    <w:rsid w:val="00983308"/>
    <w:rsid w:val="009911C3"/>
    <w:rsid w:val="009A2907"/>
    <w:rsid w:val="009A4957"/>
    <w:rsid w:val="009C0088"/>
    <w:rsid w:val="009D7C52"/>
    <w:rsid w:val="009E0530"/>
    <w:rsid w:val="009E37A4"/>
    <w:rsid w:val="009E4BE2"/>
    <w:rsid w:val="009E5D58"/>
    <w:rsid w:val="009F7BD5"/>
    <w:rsid w:val="00A026E3"/>
    <w:rsid w:val="00A35A43"/>
    <w:rsid w:val="00A7006F"/>
    <w:rsid w:val="00A75A0C"/>
    <w:rsid w:val="00A75D3B"/>
    <w:rsid w:val="00A84C19"/>
    <w:rsid w:val="00A908E3"/>
    <w:rsid w:val="00A937EA"/>
    <w:rsid w:val="00A97BFB"/>
    <w:rsid w:val="00AA1401"/>
    <w:rsid w:val="00AA5C47"/>
    <w:rsid w:val="00AA6714"/>
    <w:rsid w:val="00AB15F1"/>
    <w:rsid w:val="00AD79A4"/>
    <w:rsid w:val="00B022CB"/>
    <w:rsid w:val="00B129A9"/>
    <w:rsid w:val="00B1704B"/>
    <w:rsid w:val="00B230C4"/>
    <w:rsid w:val="00B420A7"/>
    <w:rsid w:val="00B42711"/>
    <w:rsid w:val="00B50FBE"/>
    <w:rsid w:val="00B54B89"/>
    <w:rsid w:val="00B61E82"/>
    <w:rsid w:val="00B7237A"/>
    <w:rsid w:val="00BA3263"/>
    <w:rsid w:val="00BB10ED"/>
    <w:rsid w:val="00BB5CBB"/>
    <w:rsid w:val="00BE467E"/>
    <w:rsid w:val="00BF4B28"/>
    <w:rsid w:val="00C014C5"/>
    <w:rsid w:val="00C05CF7"/>
    <w:rsid w:val="00C13109"/>
    <w:rsid w:val="00C36B06"/>
    <w:rsid w:val="00C42AF0"/>
    <w:rsid w:val="00C42C05"/>
    <w:rsid w:val="00C56650"/>
    <w:rsid w:val="00C81107"/>
    <w:rsid w:val="00C945EF"/>
    <w:rsid w:val="00CB4519"/>
    <w:rsid w:val="00CF03C1"/>
    <w:rsid w:val="00D02919"/>
    <w:rsid w:val="00D13C62"/>
    <w:rsid w:val="00D23E78"/>
    <w:rsid w:val="00D33F02"/>
    <w:rsid w:val="00D34673"/>
    <w:rsid w:val="00D82D12"/>
    <w:rsid w:val="00D87B83"/>
    <w:rsid w:val="00D9545E"/>
    <w:rsid w:val="00D97A1C"/>
    <w:rsid w:val="00D97D84"/>
    <w:rsid w:val="00DA284F"/>
    <w:rsid w:val="00DC5910"/>
    <w:rsid w:val="00DC688B"/>
    <w:rsid w:val="00DD03A4"/>
    <w:rsid w:val="00DD3AED"/>
    <w:rsid w:val="00DE2FDB"/>
    <w:rsid w:val="00DE40F2"/>
    <w:rsid w:val="00DF04C4"/>
    <w:rsid w:val="00DF12C9"/>
    <w:rsid w:val="00DF1D82"/>
    <w:rsid w:val="00DF68BE"/>
    <w:rsid w:val="00E028B1"/>
    <w:rsid w:val="00E14217"/>
    <w:rsid w:val="00E17AD4"/>
    <w:rsid w:val="00E332CC"/>
    <w:rsid w:val="00E457E8"/>
    <w:rsid w:val="00E5411B"/>
    <w:rsid w:val="00E54E49"/>
    <w:rsid w:val="00E57E41"/>
    <w:rsid w:val="00E7654F"/>
    <w:rsid w:val="00E84961"/>
    <w:rsid w:val="00E923C9"/>
    <w:rsid w:val="00EA16F5"/>
    <w:rsid w:val="00EA2BE2"/>
    <w:rsid w:val="00EB065D"/>
    <w:rsid w:val="00EB7D2D"/>
    <w:rsid w:val="00EC4A14"/>
    <w:rsid w:val="00ED7231"/>
    <w:rsid w:val="00EE27A7"/>
    <w:rsid w:val="00EE4CA0"/>
    <w:rsid w:val="00EF19AE"/>
    <w:rsid w:val="00EF2ED1"/>
    <w:rsid w:val="00EF4655"/>
    <w:rsid w:val="00F05A26"/>
    <w:rsid w:val="00F416EE"/>
    <w:rsid w:val="00F41760"/>
    <w:rsid w:val="00F5033A"/>
    <w:rsid w:val="00F53447"/>
    <w:rsid w:val="00F6542D"/>
    <w:rsid w:val="00F72AFA"/>
    <w:rsid w:val="00F8138B"/>
    <w:rsid w:val="00F82732"/>
    <w:rsid w:val="00FA48F3"/>
    <w:rsid w:val="00FB3E51"/>
    <w:rsid w:val="00FF5FEC"/>
    <w:rsid w:val="01B222A9"/>
    <w:rsid w:val="08BB636A"/>
    <w:rsid w:val="0AC26721"/>
    <w:rsid w:val="20E134CE"/>
    <w:rsid w:val="37FD36E7"/>
    <w:rsid w:val="571C6FDD"/>
    <w:rsid w:val="5E8174F8"/>
    <w:rsid w:val="6538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semiHidden="0" w:name="heading 2"/>
    <w:lsdException w:qFormat="1" w:uiPriority="1" w:semiHidden="0" w:name="heading 3"/>
    <w:lsdException w:qFormat="1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next w:val="1"/>
    <w:link w:val="17"/>
    <w:qFormat/>
    <w:uiPriority w:val="1"/>
    <w:pPr>
      <w:numPr>
        <w:ilvl w:val="0"/>
        <w:numId w:val="1"/>
      </w:numPr>
      <w:adjustRightInd w:val="0"/>
      <w:snapToGrid w:val="0"/>
      <w:spacing w:before="156" w:beforeLines="50" w:after="156" w:afterLines="50" w:line="300" w:lineRule="auto"/>
      <w:outlineLvl w:val="0"/>
    </w:pPr>
    <w:rPr>
      <w:rFonts w:ascii="Times New Roman" w:hAnsi="Times New Roman" w:eastAsia="宋体" w:cs="Times New Roman"/>
      <w:b/>
      <w:bCs/>
      <w:kern w:val="2"/>
      <w:sz w:val="32"/>
      <w:szCs w:val="36"/>
      <w:lang w:val="en-US" w:eastAsia="zh-CN" w:bidi="ar-SA"/>
    </w:rPr>
  </w:style>
  <w:style w:type="paragraph" w:styleId="4">
    <w:name w:val="heading 2"/>
    <w:next w:val="1"/>
    <w:link w:val="16"/>
    <w:unhideWhenUsed/>
    <w:qFormat/>
    <w:uiPriority w:val="1"/>
    <w:pPr>
      <w:numPr>
        <w:ilvl w:val="1"/>
        <w:numId w:val="1"/>
      </w:numPr>
      <w:adjustRightInd w:val="0"/>
      <w:snapToGrid w:val="0"/>
      <w:spacing w:before="156" w:beforeLines="50" w:after="156" w:afterLines="50" w:line="300" w:lineRule="auto"/>
      <w:outlineLvl w:val="1"/>
    </w:pPr>
    <w:rPr>
      <w:rFonts w:ascii="Times New Roman" w:hAnsi="Times New Roman" w:eastAsia="宋体" w:cs="Times New Roman"/>
      <w:b/>
      <w:kern w:val="2"/>
      <w:sz w:val="28"/>
      <w:szCs w:val="32"/>
      <w:lang w:val="en-US" w:eastAsia="zh-CN" w:bidi="ar-SA"/>
    </w:rPr>
  </w:style>
  <w:style w:type="paragraph" w:styleId="5">
    <w:name w:val="heading 3"/>
    <w:next w:val="1"/>
    <w:link w:val="18"/>
    <w:unhideWhenUsed/>
    <w:qFormat/>
    <w:uiPriority w:val="1"/>
    <w:pPr>
      <w:numPr>
        <w:ilvl w:val="2"/>
        <w:numId w:val="1"/>
      </w:numPr>
      <w:adjustRightInd w:val="0"/>
      <w:snapToGrid w:val="0"/>
      <w:spacing w:before="156" w:beforeLines="50" w:after="156" w:afterLines="50" w:line="300" w:lineRule="auto"/>
      <w:outlineLvl w:val="2"/>
    </w:pPr>
    <w:rPr>
      <w:rFonts w:ascii="Times New Roman" w:hAnsi="Times New Roman" w:eastAsia="宋体" w:cs="Times New Roman"/>
      <w:b/>
      <w:kern w:val="2"/>
      <w:sz w:val="28"/>
      <w:szCs w:val="32"/>
      <w:lang w:val="en-US" w:eastAsia="zh-CN" w:bidi="ar-SA"/>
    </w:rPr>
  </w:style>
  <w:style w:type="paragraph" w:styleId="6">
    <w:name w:val="heading 4"/>
    <w:next w:val="1"/>
    <w:link w:val="19"/>
    <w:unhideWhenUsed/>
    <w:qFormat/>
    <w:uiPriority w:val="1"/>
    <w:pPr>
      <w:numPr>
        <w:ilvl w:val="3"/>
        <w:numId w:val="1"/>
      </w:numPr>
      <w:adjustRightInd w:val="0"/>
      <w:snapToGrid w:val="0"/>
      <w:spacing w:before="156" w:beforeLines="50" w:after="156" w:afterLines="50" w:line="300" w:lineRule="auto"/>
      <w:outlineLvl w:val="3"/>
    </w:pPr>
    <w:rPr>
      <w:rFonts w:ascii="Times New Roman" w:hAnsi="Times New Roman" w:eastAsia="宋体" w:cs="Times New Roman"/>
      <w:kern w:val="2"/>
      <w:sz w:val="28"/>
      <w:szCs w:val="32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after="120" w:afterLines="0" w:afterAutospacing="0"/>
    </w:pPr>
  </w:style>
  <w:style w:type="paragraph" w:styleId="7">
    <w:name w:val="caption"/>
    <w:basedOn w:val="1"/>
    <w:next w:val="1"/>
    <w:link w:val="28"/>
    <w:unhideWhenUsed/>
    <w:qFormat/>
    <w:uiPriority w:val="35"/>
    <w:pPr>
      <w:adjustRightInd w:val="0"/>
      <w:snapToGrid w:val="0"/>
      <w:spacing w:line="360" w:lineRule="auto"/>
      <w:jc w:val="center"/>
    </w:pPr>
    <w:rPr>
      <w:rFonts w:ascii="Times New Roman" w:hAnsi="Times New Roman" w:eastAsia="仿宋_GB2312" w:cs="Times New Roman"/>
      <w:b/>
      <w:kern w:val="0"/>
      <w:sz w:val="24"/>
      <w:szCs w:val="20"/>
      <w:lang w:val="zh-CN"/>
    </w:rPr>
  </w:style>
  <w:style w:type="paragraph" w:styleId="8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List"/>
    <w:basedOn w:val="1"/>
    <w:unhideWhenUsed/>
    <w:qFormat/>
    <w:uiPriority w:val="99"/>
    <w:pPr>
      <w:ind w:left="200" w:hanging="200" w:hangingChars="200"/>
      <w:contextualSpacing/>
    </w:pPr>
  </w:style>
  <w:style w:type="paragraph" w:styleId="11">
    <w:name w:val="Title"/>
    <w:basedOn w:val="12"/>
    <w:next w:val="1"/>
    <w:link w:val="33"/>
    <w:qFormat/>
    <w:uiPriority w:val="10"/>
    <w:pPr>
      <w:ind w:firstLine="0" w:firstLineChars="0"/>
      <w:jc w:val="center"/>
      <w:outlineLvl w:val="0"/>
    </w:pPr>
    <w:rPr>
      <w:rFonts w:ascii="宋体" w:hAnsi="宋体" w:eastAsia="宋体"/>
      <w:b/>
      <w:bCs/>
    </w:rPr>
  </w:style>
  <w:style w:type="paragraph" w:customStyle="1" w:styleId="12">
    <w:name w:val="正文G"/>
    <w:link w:val="29"/>
    <w:qFormat/>
    <w:uiPriority w:val="0"/>
    <w:pPr>
      <w:adjustRightInd w:val="0"/>
      <w:snapToGrid w:val="0"/>
      <w:spacing w:line="360" w:lineRule="auto"/>
      <w:ind w:firstLine="560" w:firstLineChars="200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character" w:styleId="14">
    <w:name w:val="page number"/>
    <w:basedOn w:val="13"/>
    <w:qFormat/>
    <w:uiPriority w:val="0"/>
    <w:rPr>
      <w:rFonts w:ascii="Tahoma" w:hAnsi="Tahoma"/>
      <w:sz w:val="24"/>
      <w:szCs w:val="24"/>
    </w:rPr>
  </w:style>
  <w:style w:type="character" w:customStyle="1" w:styleId="16">
    <w:name w:val="标题 2 字符"/>
    <w:basedOn w:val="13"/>
    <w:link w:val="4"/>
    <w:qFormat/>
    <w:uiPriority w:val="1"/>
    <w:rPr>
      <w:rFonts w:ascii="Times New Roman" w:hAnsi="Times New Roman" w:eastAsia="宋体" w:cs="Times New Roman"/>
      <w:b/>
      <w:sz w:val="28"/>
      <w:szCs w:val="32"/>
    </w:rPr>
  </w:style>
  <w:style w:type="character" w:customStyle="1" w:styleId="17">
    <w:name w:val="标题 1 字符"/>
    <w:basedOn w:val="13"/>
    <w:link w:val="3"/>
    <w:qFormat/>
    <w:uiPriority w:val="1"/>
    <w:rPr>
      <w:rFonts w:ascii="Times New Roman" w:hAnsi="Times New Roman" w:eastAsia="宋体" w:cs="Times New Roman"/>
      <w:b/>
      <w:bCs/>
      <w:sz w:val="32"/>
      <w:szCs w:val="36"/>
    </w:rPr>
  </w:style>
  <w:style w:type="character" w:customStyle="1" w:styleId="18">
    <w:name w:val="标题 3 字符"/>
    <w:basedOn w:val="13"/>
    <w:link w:val="5"/>
    <w:qFormat/>
    <w:uiPriority w:val="1"/>
    <w:rPr>
      <w:rFonts w:ascii="Times New Roman" w:hAnsi="Times New Roman" w:eastAsia="宋体" w:cs="Times New Roman"/>
      <w:b/>
      <w:sz w:val="28"/>
      <w:szCs w:val="32"/>
    </w:rPr>
  </w:style>
  <w:style w:type="character" w:customStyle="1" w:styleId="19">
    <w:name w:val="标题 4 字符"/>
    <w:basedOn w:val="13"/>
    <w:link w:val="6"/>
    <w:qFormat/>
    <w:uiPriority w:val="1"/>
    <w:rPr>
      <w:rFonts w:ascii="Times New Roman" w:hAnsi="Times New Roman" w:eastAsia="宋体" w:cs="Times New Roman"/>
      <w:sz w:val="28"/>
      <w:szCs w:val="32"/>
    </w:rPr>
  </w:style>
  <w:style w:type="paragraph" w:customStyle="1" w:styleId="20">
    <w:name w:val="表"/>
    <w:basedOn w:val="10"/>
    <w:link w:val="21"/>
    <w:qFormat/>
    <w:uiPriority w:val="0"/>
    <w:pPr>
      <w:framePr w:hSpace="180" w:wrap="around" w:vAnchor="text" w:hAnchor="page" w:x="1773" w:y="293"/>
      <w:widowControl/>
      <w:adjustRightInd w:val="0"/>
      <w:snapToGrid w:val="0"/>
      <w:ind w:left="0" w:firstLine="0" w:firstLineChars="0"/>
      <w:contextualSpacing w:val="0"/>
      <w:jc w:val="center"/>
    </w:pPr>
    <w:rPr>
      <w:rFonts w:ascii="仿宋_GB2312" w:eastAsia="仿宋_GB2312"/>
      <w:bCs/>
      <w:color w:val="000000"/>
      <w:sz w:val="24"/>
      <w:szCs w:val="21"/>
      <w:lang w:val="zh-CN"/>
    </w:rPr>
  </w:style>
  <w:style w:type="character" w:customStyle="1" w:styleId="21">
    <w:name w:val="表 字符"/>
    <w:link w:val="20"/>
    <w:qFormat/>
    <w:locked/>
    <w:uiPriority w:val="0"/>
    <w:rPr>
      <w:rFonts w:ascii="仿宋_GB2312" w:eastAsia="仿宋_GB2312"/>
      <w:bCs/>
      <w:color w:val="000000"/>
      <w:sz w:val="24"/>
      <w:szCs w:val="21"/>
      <w:lang w:val="zh-CN"/>
    </w:rPr>
  </w:style>
  <w:style w:type="paragraph" w:customStyle="1" w:styleId="22">
    <w:name w:val="表标题"/>
    <w:basedOn w:val="1"/>
    <w:link w:val="23"/>
    <w:qFormat/>
    <w:uiPriority w:val="0"/>
    <w:pPr>
      <w:widowControl/>
      <w:adjustRightInd w:val="0"/>
      <w:snapToGrid w:val="0"/>
      <w:spacing w:before="50" w:beforeLines="50" w:line="360" w:lineRule="auto"/>
      <w:jc w:val="center"/>
    </w:pPr>
    <w:rPr>
      <w:rFonts w:ascii="Times New Roman" w:hAnsi="Times New Roman" w:eastAsia="宋体" w:cs="Times New Roman"/>
      <w:sz w:val="24"/>
      <w:szCs w:val="24"/>
    </w:rPr>
  </w:style>
  <w:style w:type="character" w:customStyle="1" w:styleId="23">
    <w:name w:val="表标题 字符"/>
    <w:basedOn w:val="13"/>
    <w:link w:val="22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4">
    <w:name w:val="表格内容"/>
    <w:next w:val="1"/>
    <w:link w:val="25"/>
    <w:qFormat/>
    <w:uiPriority w:val="0"/>
    <w:pPr>
      <w:adjustRightInd w:val="0"/>
      <w:snapToGrid w:val="0"/>
      <w:spacing w:line="300" w:lineRule="auto"/>
      <w:jc w:val="center"/>
    </w:pPr>
    <w:rPr>
      <w:rFonts w:ascii="Times New Roman" w:hAnsi="Times New Roman" w:eastAsia="仿宋_GB2312" w:cs="Times New Roman"/>
      <w:bCs/>
      <w:kern w:val="2"/>
      <w:sz w:val="24"/>
      <w:szCs w:val="24"/>
      <w:lang w:val="en-US" w:eastAsia="zh-CN" w:bidi="ar-SA"/>
    </w:rPr>
  </w:style>
  <w:style w:type="character" w:customStyle="1" w:styleId="25">
    <w:name w:val="表格内容 字符"/>
    <w:basedOn w:val="13"/>
    <w:link w:val="24"/>
    <w:qFormat/>
    <w:uiPriority w:val="0"/>
    <w:rPr>
      <w:rFonts w:ascii="Times New Roman" w:hAnsi="Times New Roman" w:eastAsia="仿宋_GB2312" w:cs="Times New Roman"/>
      <w:bCs/>
      <w:sz w:val="24"/>
      <w:szCs w:val="24"/>
    </w:rPr>
  </w:style>
  <w:style w:type="paragraph" w:customStyle="1" w:styleId="26">
    <w:name w:val="居中"/>
    <w:link w:val="27"/>
    <w:qFormat/>
    <w:uiPriority w:val="0"/>
    <w:pPr>
      <w:adjustRightInd w:val="0"/>
      <w:snapToGrid w:val="0"/>
      <w:spacing w:before="156" w:beforeLines="50" w:after="156" w:afterLines="50"/>
      <w:jc w:val="center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27">
    <w:name w:val="居中 字符"/>
    <w:basedOn w:val="13"/>
    <w:link w:val="26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28">
    <w:name w:val="题注 字符"/>
    <w:link w:val="7"/>
    <w:qFormat/>
    <w:locked/>
    <w:uiPriority w:val="35"/>
    <w:rPr>
      <w:rFonts w:ascii="Times New Roman" w:hAnsi="Times New Roman" w:eastAsia="仿宋_GB2312" w:cs="Times New Roman"/>
      <w:b/>
      <w:kern w:val="0"/>
      <w:sz w:val="24"/>
      <w:szCs w:val="20"/>
      <w:lang w:val="zh-CN"/>
    </w:rPr>
  </w:style>
  <w:style w:type="character" w:customStyle="1" w:styleId="29">
    <w:name w:val="正文G 字符"/>
    <w:basedOn w:val="13"/>
    <w:link w:val="12"/>
    <w:qFormat/>
    <w:uiPriority w:val="0"/>
    <w:rPr>
      <w:rFonts w:ascii="Times New Roman" w:hAnsi="Times New Roman" w:eastAsia="仿宋_GB2312"/>
      <w:sz w:val="28"/>
    </w:rPr>
  </w:style>
  <w:style w:type="table" w:customStyle="1" w:styleId="30">
    <w:name w:val="样式1"/>
    <w:basedOn w:val="15"/>
    <w:qFormat/>
    <w:uiPriority w:val="99"/>
    <w:pPr>
      <w:jc w:val="center"/>
    </w:pPr>
    <w:rPr>
      <w:rFonts w:ascii="Times New Roman" w:hAnsi="Times New Roman" w:eastAsia="仿宋_GB2312" w:cs="Times New Roman"/>
    </w:rPr>
    <w:tblPr>
      <w:jc w:val="center"/>
      <w:tblBorders>
        <w:top w:val="single" w:color="auto" w:sz="12" w:space="0"/>
        <w:bottom w:val="single" w:color="auto" w:sz="12" w:space="0"/>
      </w:tblBorders>
      <w:tblLayout w:type="fixed"/>
    </w:tblPr>
    <w:trPr>
      <w:jc w:val="center"/>
    </w:trPr>
    <w:tcPr>
      <w:shd w:val="clear" w:color="auto" w:fill="auto"/>
      <w:vAlign w:val="center"/>
    </w:tcPr>
    <w:tblStylePr w:type="firstRow">
      <w:rPr>
        <w:rFonts w:ascii="Times New Roman" w:hAnsi="Times New Roman" w:eastAsia="仿宋_GB2312"/>
        <w:sz w:val="21"/>
      </w:rPr>
      <w:tcPr>
        <w:tcBorders>
          <w:bottom w:val="single" w:color="auto" w:sz="4" w:space="0"/>
        </w:tcBorders>
        <w:shd w:val="clear" w:color="auto" w:fill="auto"/>
      </w:tcPr>
    </w:tblStylePr>
  </w:style>
  <w:style w:type="character" w:customStyle="1" w:styleId="31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32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33">
    <w:name w:val="标题 字符"/>
    <w:basedOn w:val="13"/>
    <w:link w:val="11"/>
    <w:qFormat/>
    <w:uiPriority w:val="10"/>
    <w:rPr>
      <w:rFonts w:ascii="宋体" w:hAnsi="宋体" w:eastAsia="宋体"/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198D34-80AA-4FDF-8F25-1749A22F4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520</Words>
  <Characters>2966</Characters>
  <Lines>24</Lines>
  <Paragraphs>6</Paragraphs>
  <TotalTime>0</TotalTime>
  <ScaleCrop>false</ScaleCrop>
  <LinksUpToDate>false</LinksUpToDate>
  <CharactersWithSpaces>3480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2023-04-27T08:46:00Z</dcterms:created>
  <dc:creator>高 双全</dc:creator>
  <cp:lastModifiedBy>lenovo</cp:lastModifiedBy>
  <dcterms:modified xsi:type="dcterms:W3CDTF">2023-05-22T08:50:25Z</dcterms:modified>
  <cp:revision>574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